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1"/>
        <w:rPr>
          <w:rFonts w:eastAsia="宋体" w:cs="Palatino Linotype"/>
          <w:lang w:eastAsia="zh-CN"/>
        </w:rPr>
      </w:pPr>
      <w:r>
        <w:rPr>
          <w:rFonts w:cs="Palatino Linotype"/>
        </w:rPr>
        <w:t>GC</w:t>
      </w:r>
      <w:r>
        <w:rPr>
          <w:rFonts w:hint="eastAsia" w:eastAsia="宋体" w:cs="Palatino Linotype"/>
          <w:lang w:val="en-US" w:eastAsia="zh-CN"/>
        </w:rPr>
        <w:t>-</w:t>
      </w:r>
      <w:r>
        <w:rPr>
          <w:rFonts w:cs="Palatino Linotype"/>
        </w:rPr>
        <w:t xml:space="preserve">MS </w:t>
      </w:r>
      <w:r>
        <w:rPr>
          <w:rFonts w:hint="eastAsia" w:eastAsia="宋体" w:cs="Palatino Linotype"/>
          <w:lang w:val="en-US" w:eastAsia="zh-CN"/>
        </w:rPr>
        <w:t>C</w:t>
      </w:r>
      <w:r>
        <w:rPr>
          <w:rFonts w:cs="Palatino Linotype"/>
        </w:rPr>
        <w:t xml:space="preserve">ombined with </w:t>
      </w:r>
      <w:r>
        <w:rPr>
          <w:rFonts w:hint="eastAsia" w:eastAsia="宋体" w:cs="Palatino Linotype"/>
          <w:lang w:val="en-US" w:eastAsia="zh-CN"/>
        </w:rPr>
        <w:t>F</w:t>
      </w:r>
      <w:r>
        <w:rPr>
          <w:rFonts w:cs="Palatino Linotype"/>
        </w:rPr>
        <w:t xml:space="preserve">ast GC e-nose </w:t>
      </w:r>
      <w:r>
        <w:rPr>
          <w:rFonts w:hint="eastAsia" w:eastAsia="宋体" w:cs="Palatino Linotype"/>
          <w:lang w:val="en-US" w:eastAsia="zh-CN"/>
        </w:rPr>
        <w:t>f</w:t>
      </w:r>
      <w:r>
        <w:rPr>
          <w:rFonts w:cs="Palatino Linotype"/>
        </w:rPr>
        <w:t xml:space="preserve">or the </w:t>
      </w:r>
      <w:r>
        <w:rPr>
          <w:rFonts w:hint="eastAsia" w:eastAsia="宋体" w:cs="Palatino Linotype"/>
          <w:lang w:val="en-US" w:eastAsia="zh-CN"/>
        </w:rPr>
        <w:t>A</w:t>
      </w:r>
      <w:r>
        <w:rPr>
          <w:rFonts w:cs="Palatino Linotype"/>
        </w:rPr>
        <w:t xml:space="preserve">nalysis of </w:t>
      </w:r>
      <w:r>
        <w:rPr>
          <w:rFonts w:hint="eastAsia" w:eastAsia="宋体" w:cs="Palatino Linotype"/>
          <w:lang w:val="en-US" w:eastAsia="zh-CN"/>
        </w:rPr>
        <w:t>V</w:t>
      </w:r>
      <w:r>
        <w:rPr>
          <w:rFonts w:cs="Palatino Linotype"/>
        </w:rPr>
        <w:t>olatile</w:t>
      </w:r>
      <w:r>
        <w:rPr>
          <w:rFonts w:hint="eastAsia" w:eastAsia="宋体" w:cs="Palatino Linotype"/>
          <w:lang w:val="en-US" w:eastAsia="zh-CN"/>
        </w:rPr>
        <w:t xml:space="preserve"> C</w:t>
      </w:r>
      <w:r>
        <w:rPr>
          <w:rFonts w:cs="Palatino Linotype"/>
        </w:rPr>
        <w:t xml:space="preserve">omponents of </w:t>
      </w:r>
      <w:r>
        <w:rPr>
          <w:rFonts w:hint="eastAsia" w:eastAsia="宋体" w:cs="Palatino Linotype"/>
          <w:lang w:val="en-US" w:eastAsia="zh-CN"/>
        </w:rPr>
        <w:t>C</w:t>
      </w:r>
      <w:r>
        <w:rPr>
          <w:rFonts w:cs="Palatino Linotype"/>
        </w:rPr>
        <w:t>hamomile (</w:t>
      </w:r>
      <w:r>
        <w:rPr>
          <w:rFonts w:cs="Palatino Linotype"/>
          <w:i/>
          <w:iCs/>
        </w:rPr>
        <w:t>Matricaria chamomilla</w:t>
      </w:r>
      <w:r>
        <w:rPr>
          <w:rFonts w:cs="Palatino Linotype"/>
        </w:rPr>
        <w:t xml:space="preserve"> L.)</w:t>
      </w:r>
    </w:p>
    <w:p>
      <w:pPr>
        <w:pStyle w:val="22"/>
        <w:rPr>
          <w:rFonts w:cs="Palatino Linotype"/>
        </w:rPr>
      </w:pPr>
      <w:r>
        <w:rPr>
          <w:rFonts w:hint="eastAsia" w:cs="Palatino Linotype" w:asciiTheme="minorEastAsia" w:hAnsiTheme="minorEastAsia" w:eastAsiaTheme="minorEastAsia"/>
          <w:lang w:eastAsia="zh-CN"/>
        </w:rPr>
        <w:t>L</w:t>
      </w:r>
      <w:r>
        <w:rPr>
          <w:rFonts w:hint="eastAsia" w:cs="Palatino Linotype" w:eastAsiaTheme="minorEastAsia"/>
          <w:lang w:eastAsia="zh-CN"/>
        </w:rPr>
        <w:t xml:space="preserve">u Jia-yu </w:t>
      </w:r>
      <w:r>
        <w:rPr>
          <w:rFonts w:cs="Palatino Linotype"/>
          <w:vertAlign w:val="superscript"/>
        </w:rPr>
        <w:t>1</w:t>
      </w:r>
      <w:r>
        <w:rPr>
          <w:rFonts w:cs="Palatino Linotype"/>
        </w:rPr>
        <w:t xml:space="preserve">, </w:t>
      </w:r>
      <w:r>
        <w:rPr>
          <w:rFonts w:hint="eastAsia" w:cs="Palatino Linotype" w:eastAsiaTheme="minorEastAsia"/>
          <w:lang w:eastAsia="zh-CN"/>
        </w:rPr>
        <w:t xml:space="preserve">Qu Cheng </w:t>
      </w:r>
      <w:r>
        <w:rPr>
          <w:rFonts w:hint="eastAsia" w:cs="Palatino Linotype" w:eastAsiaTheme="minorEastAsia"/>
          <w:vertAlign w:val="superscript"/>
          <w:lang w:eastAsia="zh-CN"/>
        </w:rPr>
        <w:t>1,</w:t>
      </w:r>
      <w:r>
        <w:rPr>
          <w:rFonts w:hint="eastAsia" w:cs="Palatino Linotype" w:eastAsiaTheme="minorEastAsia"/>
          <w:lang w:eastAsia="zh-CN"/>
        </w:rPr>
        <w:t>*,</w:t>
      </w:r>
      <w:r>
        <w:rPr>
          <w:rFonts w:cs="Palatino Linotype"/>
        </w:rPr>
        <w:t xml:space="preserve"> </w:t>
      </w:r>
      <w:r>
        <w:rPr>
          <w:rFonts w:hint="eastAsia" w:cs="Palatino Linotype" w:eastAsiaTheme="minorEastAsia"/>
          <w:lang w:eastAsia="zh-CN"/>
        </w:rPr>
        <w:t xml:space="preserve">Yu Dai-xin </w:t>
      </w:r>
      <w:r>
        <w:rPr>
          <w:rFonts w:hint="eastAsia" w:cs="Palatino Linotype" w:eastAsiaTheme="minorEastAsia"/>
          <w:vertAlign w:val="superscript"/>
          <w:lang w:eastAsia="zh-CN"/>
        </w:rPr>
        <w:t>1</w:t>
      </w:r>
      <w:r>
        <w:rPr>
          <w:rFonts w:hint="eastAsia" w:cs="Palatino Linotype" w:eastAsiaTheme="minorEastAsia"/>
          <w:lang w:eastAsia="zh-CN"/>
        </w:rPr>
        <w:t xml:space="preserve">, </w:t>
      </w:r>
      <w:r>
        <w:rPr>
          <w:rFonts w:cs="Palatino Linotype"/>
        </w:rPr>
        <w:t xml:space="preserve">and </w:t>
      </w:r>
      <w:r>
        <w:rPr>
          <w:rFonts w:hint="eastAsia" w:cs="Palatino Linotype" w:eastAsiaTheme="minorEastAsia"/>
          <w:lang w:eastAsia="zh-CN"/>
        </w:rPr>
        <w:t>Wu Qi-nan</w:t>
      </w:r>
      <w:r>
        <w:rPr>
          <w:rFonts w:cs="Palatino Linotype"/>
        </w:rPr>
        <w:t xml:space="preserve"> </w:t>
      </w:r>
      <w:r>
        <w:rPr>
          <w:rFonts w:hint="eastAsia" w:eastAsia="宋体" w:cs="Palatino Linotype"/>
          <w:vertAlign w:val="superscript"/>
          <w:lang w:val="en-US" w:eastAsia="zh-CN"/>
        </w:rPr>
        <w:t>1</w:t>
      </w:r>
      <w:r>
        <w:rPr>
          <w:rFonts w:cs="Palatino Linotype"/>
          <w:vertAlign w:val="superscript"/>
        </w:rPr>
        <w:t>,</w:t>
      </w:r>
      <w:r>
        <w:rPr>
          <w:rFonts w:cs="Palatino Linotype"/>
        </w:rPr>
        <w:t>*</w:t>
      </w:r>
    </w:p>
    <w:p>
      <w:pPr>
        <w:pStyle w:val="24"/>
        <w:rPr>
          <w:rFonts w:hint="eastAsia" w:eastAsia="宋体" w:cs="Palatino Linotype"/>
          <w:lang w:val="en-US" w:eastAsia="zh-CN"/>
        </w:rPr>
      </w:pPr>
      <w:r>
        <w:rPr>
          <w:rFonts w:cs="Palatino Linotype"/>
          <w:vertAlign w:val="superscript"/>
        </w:rPr>
        <w:t>1</w:t>
      </w:r>
      <w:r>
        <w:rPr>
          <w:rFonts w:cs="Palatino Linotype"/>
        </w:rPr>
        <w:tab/>
      </w:r>
      <w:r>
        <w:rPr>
          <w:rFonts w:hint="eastAsia" w:cs="Palatino Linotype"/>
        </w:rPr>
        <w:t>Nanjing University of Chinese Medicine, Nanjing 210023, China</w:t>
      </w:r>
      <w:r>
        <w:rPr>
          <w:rFonts w:hint="eastAsia" w:eastAsia="宋体" w:cs="Palatino Linotype"/>
          <w:lang w:val="en-US" w:eastAsia="zh-CN"/>
        </w:rPr>
        <w:t>;</w:t>
      </w:r>
    </w:p>
    <w:p>
      <w:pPr>
        <w:pStyle w:val="24"/>
        <w:rPr>
          <w:rFonts w:hint="default" w:eastAsia="宋体" w:cs="Palatino Linotype"/>
          <w:lang w:val="en-US" w:eastAsia="zh-CN"/>
        </w:rPr>
      </w:pPr>
      <w:r>
        <w:rPr>
          <w:rFonts w:hint="eastAsia" w:eastAsia="宋体" w:cs="Palatino Linotype"/>
          <w:lang w:val="en-US" w:eastAsia="zh-CN"/>
        </w:rPr>
        <w:t>lujiayu5210@163.com (J.-Y.L.); qucheng@njucm.edu.cn (C.Q.);yudaixin0616@163.com (D.-X.Y.); wuqn@njucm.edu.cn (Q.-N.W.)</w:t>
      </w:r>
    </w:p>
    <w:p>
      <w:pPr>
        <w:pStyle w:val="24"/>
        <w:rPr>
          <w:rFonts w:hint="eastAsia" w:eastAsia="宋体" w:cs="Palatino Linotype"/>
          <w:lang w:val="en-US" w:eastAsia="zh-CN"/>
        </w:rPr>
      </w:pPr>
      <w:r>
        <w:rPr>
          <w:rFonts w:cs="Palatino Linotype"/>
          <w:b/>
        </w:rPr>
        <w:t>*</w:t>
      </w:r>
      <w:r>
        <w:rPr>
          <w:rFonts w:cs="Palatino Linotype"/>
        </w:rPr>
        <w:tab/>
      </w:r>
      <w:r>
        <w:rPr>
          <w:rFonts w:cs="Palatino Linotype"/>
        </w:rPr>
        <w:t xml:space="preserve">Correspondence: </w:t>
      </w:r>
      <w:r>
        <w:rPr>
          <w:rFonts w:hint="eastAsia" w:cs="Palatino Linotype"/>
        </w:rPr>
        <w:t>qucheng@njucm.edu.cn</w:t>
      </w:r>
      <w:r>
        <w:rPr>
          <w:rFonts w:hint="eastAsia" w:eastAsia="宋体" w:cs="Palatino Linotype"/>
          <w:lang w:val="en-US" w:eastAsia="zh-CN"/>
        </w:rPr>
        <w:t xml:space="preserve"> </w:t>
      </w:r>
      <w:r>
        <w:rPr>
          <w:rFonts w:hint="eastAsia" w:cs="Palatino Linotype"/>
        </w:rPr>
        <w:t>(C.Q.)</w:t>
      </w:r>
      <w:r>
        <w:rPr>
          <w:rFonts w:hint="eastAsia" w:eastAsia="宋体" w:cs="Palatino Linotype"/>
          <w:lang w:val="en-US" w:eastAsia="zh-CN"/>
        </w:rPr>
        <w:t>; wuqn@njucm.edu.cn (Q.-N.W.)</w:t>
      </w:r>
    </w:p>
    <w:p>
      <w:pPr>
        <w:pStyle w:val="27"/>
        <w:rPr>
          <w:rFonts w:cs="Palatino Linotype"/>
        </w:rPr>
      </w:pPr>
    </w:p>
    <w:p>
      <w:pPr>
        <w:pStyle w:val="33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ind w:left="0" w:leftChars="0" w:firstLine="0" w:firstLineChars="0"/>
        <w:jc w:val="center"/>
        <w:textAlignment w:val="auto"/>
        <w:rPr>
          <w:rFonts w:hint="eastAsia"/>
        </w:rPr>
      </w:pPr>
      <w:bookmarkStart w:id="0" w:name="_GoBack"/>
      <w:bookmarkEnd w:id="0"/>
      <w:r>
        <w:rPr>
          <w:rFonts w:hint="eastAsia" w:ascii="Palatino Linotype" w:hAnsi="Palatino Linotype" w:eastAsia="Times New Roman" w:cs="Times New Roman"/>
          <w:b/>
          <w:snapToGrid w:val="0"/>
          <w:color w:val="000000"/>
          <w:sz w:val="20"/>
          <w:szCs w:val="22"/>
          <w:lang w:val="en-US" w:eastAsia="de-DE" w:bidi="en-US"/>
        </w:rPr>
        <w:t>Table S1</w:t>
      </w:r>
    </w:p>
    <w:p>
      <w:pPr>
        <w:pStyle w:val="33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ind w:left="0" w:leftChars="0" w:firstLine="0" w:firstLineChars="0"/>
        <w:jc w:val="center"/>
        <w:textAlignment w:val="auto"/>
        <w:rPr>
          <w:rFonts w:hint="eastAsia"/>
        </w:rPr>
      </w:pPr>
      <w:r>
        <w:rPr>
          <w:rFonts w:hint="eastAsia" w:eastAsia="宋体"/>
          <w:lang w:val="en-US" w:eastAsia="zh-CN"/>
        </w:rPr>
        <w:t xml:space="preserve">The </w:t>
      </w:r>
      <w:r>
        <w:rPr>
          <w:rFonts w:hint="eastAsia"/>
        </w:rPr>
        <w:t>formula, and sensory description of flavor components in</w:t>
      </w:r>
      <w:r>
        <w:rPr>
          <w:rFonts w:hint="eastAsia" w:eastAsia="宋体"/>
          <w:lang w:val="en-US" w:eastAsia="zh-CN"/>
        </w:rPr>
        <w:t xml:space="preserve"> chamomile</w:t>
      </w:r>
      <w:r>
        <w:rPr>
          <w:rFonts w:hint="eastAsia"/>
        </w:rPr>
        <w:t xml:space="preserve"> by fast GC e-nose.</w:t>
      </w:r>
    </w:p>
    <w:p>
      <w:pPr>
        <w:pStyle w:val="33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textAlignment w:val="auto"/>
        <w:rPr>
          <w:rFonts w:hint="eastAsia"/>
        </w:rPr>
      </w:pPr>
    </w:p>
    <w:tbl>
      <w:tblPr>
        <w:tblStyle w:val="11"/>
        <w:tblW w:w="4996" w:type="pct"/>
        <w:jc w:val="center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60"/>
        <w:gridCol w:w="975"/>
        <w:gridCol w:w="966"/>
        <w:gridCol w:w="968"/>
        <w:gridCol w:w="1056"/>
        <w:gridCol w:w="1084"/>
        <w:gridCol w:w="2120"/>
        <w:gridCol w:w="919"/>
        <w:gridCol w:w="1625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  <w:jc w:val="center"/>
        </w:trPr>
        <w:tc>
          <w:tcPr>
            <w:tcW w:w="915" w:type="pct"/>
            <w:gridSpan w:val="2"/>
            <w:tcBorders>
              <w:top w:val="single" w:color="auto" w:sz="12" w:space="0"/>
              <w:left w:val="nil"/>
              <w:bottom w:val="nil"/>
              <w:right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MXT-5</w:t>
            </w:r>
          </w:p>
        </w:tc>
        <w:tc>
          <w:tcPr>
            <w:tcW w:w="915" w:type="pct"/>
            <w:gridSpan w:val="2"/>
            <w:tcBorders>
              <w:top w:val="single" w:color="auto" w:sz="12" w:space="0"/>
              <w:left w:val="nil"/>
              <w:bottom w:val="nil"/>
              <w:right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MXT-1701</w:t>
            </w:r>
          </w:p>
        </w:tc>
        <w:tc>
          <w:tcPr>
            <w:tcW w:w="457" w:type="pct"/>
            <w:vMerge w:val="restart"/>
            <w:tcBorders>
              <w:top w:val="single" w:color="auto" w:sz="12" w:space="0"/>
              <w:left w:val="nil"/>
              <w:bottom w:val="nil"/>
              <w:right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CAS</w:t>
            </w:r>
          </w:p>
        </w:tc>
        <w:tc>
          <w:tcPr>
            <w:tcW w:w="512" w:type="pct"/>
            <w:vMerge w:val="restart"/>
            <w:tcBorders>
              <w:top w:val="single" w:color="auto" w:sz="12" w:space="0"/>
              <w:left w:val="nil"/>
              <w:bottom w:val="nil"/>
              <w:right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Formula</w:t>
            </w:r>
          </w:p>
        </w:tc>
        <w:tc>
          <w:tcPr>
            <w:tcW w:w="997" w:type="pct"/>
            <w:vMerge w:val="restart"/>
            <w:tcBorders>
              <w:top w:val="single" w:color="auto" w:sz="12" w:space="0"/>
              <w:left w:val="nil"/>
              <w:bottom w:val="nil"/>
              <w:right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Nmae</w:t>
            </w:r>
          </w:p>
        </w:tc>
        <w:tc>
          <w:tcPr>
            <w:tcW w:w="435" w:type="pct"/>
            <w:vMerge w:val="restart"/>
            <w:tcBorders>
              <w:top w:val="single" w:color="auto" w:sz="12" w:space="0"/>
              <w:left w:val="nil"/>
              <w:bottom w:val="nil"/>
              <w:right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Score</w:t>
            </w:r>
          </w:p>
        </w:tc>
        <w:tc>
          <w:tcPr>
            <w:tcW w:w="765" w:type="pct"/>
            <w:vMerge w:val="restart"/>
            <w:tcBorders>
              <w:top w:val="single" w:color="auto" w:sz="12" w:space="0"/>
              <w:left w:val="nil"/>
              <w:bottom w:val="nil"/>
              <w:right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宋体" w:cs="Palatino Linotype"/>
                <w:color w:val="000000"/>
                <w:sz w:val="18"/>
                <w:szCs w:val="18"/>
                <w:lang w:val="en-US" w:eastAsia="zh-CN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Sensory descriptors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  <w:jc w:val="center"/>
        </w:trPr>
        <w:tc>
          <w:tcPr>
            <w:tcW w:w="454" w:type="pct"/>
            <w:tcBorders>
              <w:top w:val="nil"/>
              <w:left w:val="nil"/>
              <w:bottom w:val="single" w:color="auto" w:sz="12" w:space="0"/>
              <w:right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RT</w:t>
            </w:r>
          </w:p>
        </w:tc>
        <w:tc>
          <w:tcPr>
            <w:tcW w:w="460" w:type="pct"/>
            <w:tcBorders>
              <w:top w:val="nil"/>
              <w:left w:val="nil"/>
              <w:bottom w:val="single" w:color="auto" w:sz="12" w:space="0"/>
              <w:right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RI</w:t>
            </w:r>
          </w:p>
        </w:tc>
        <w:tc>
          <w:tcPr>
            <w:tcW w:w="457" w:type="pct"/>
            <w:tcBorders>
              <w:top w:val="nil"/>
              <w:left w:val="nil"/>
              <w:bottom w:val="single" w:color="auto" w:sz="12" w:space="0"/>
              <w:right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RT</w:t>
            </w:r>
          </w:p>
        </w:tc>
        <w:tc>
          <w:tcPr>
            <w:tcW w:w="458" w:type="pct"/>
            <w:tcBorders>
              <w:top w:val="nil"/>
              <w:left w:val="nil"/>
              <w:bottom w:val="single" w:color="auto" w:sz="12" w:space="0"/>
              <w:right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RI</w:t>
            </w:r>
          </w:p>
        </w:tc>
        <w:tc>
          <w:tcPr>
            <w:tcW w:w="457" w:type="pct"/>
            <w:vMerge w:val="continue"/>
            <w:tcBorders>
              <w:top w:val="nil"/>
              <w:left w:val="nil"/>
              <w:bottom w:val="single" w:color="auto" w:sz="12" w:space="0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</w:p>
        </w:tc>
        <w:tc>
          <w:tcPr>
            <w:tcW w:w="512" w:type="pct"/>
            <w:vMerge w:val="continue"/>
            <w:tcBorders>
              <w:top w:val="nil"/>
              <w:left w:val="nil"/>
              <w:bottom w:val="single" w:color="auto" w:sz="12" w:space="0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</w:p>
        </w:tc>
        <w:tc>
          <w:tcPr>
            <w:tcW w:w="997" w:type="pct"/>
            <w:vMerge w:val="continue"/>
            <w:tcBorders>
              <w:top w:val="nil"/>
              <w:left w:val="nil"/>
              <w:bottom w:val="single" w:color="auto" w:sz="12" w:space="0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</w:p>
        </w:tc>
        <w:tc>
          <w:tcPr>
            <w:tcW w:w="435" w:type="pct"/>
            <w:vMerge w:val="continue"/>
            <w:tcBorders>
              <w:top w:val="nil"/>
              <w:left w:val="nil"/>
              <w:bottom w:val="single" w:color="auto" w:sz="12" w:space="0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</w:p>
        </w:tc>
        <w:tc>
          <w:tcPr>
            <w:tcW w:w="765" w:type="pct"/>
            <w:vMerge w:val="continue"/>
            <w:tcBorders>
              <w:top w:val="nil"/>
              <w:left w:val="nil"/>
              <w:bottom w:val="single" w:color="auto" w:sz="12" w:space="0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right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  <w:jc w:val="center"/>
        </w:trPr>
        <w:tc>
          <w:tcPr>
            <w:tcW w:w="454" w:type="pct"/>
            <w:tcBorders>
              <w:top w:val="single" w:color="auto" w:sz="12" w:space="0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 xml:space="preserve">15.94 </w:t>
            </w:r>
          </w:p>
        </w:tc>
        <w:tc>
          <w:tcPr>
            <w:tcW w:w="460" w:type="pct"/>
            <w:tcBorders>
              <w:top w:val="single" w:color="auto" w:sz="12" w:space="0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418</w:t>
            </w:r>
          </w:p>
        </w:tc>
        <w:tc>
          <w:tcPr>
            <w:tcW w:w="457" w:type="pct"/>
            <w:tcBorders>
              <w:top w:val="single" w:color="auto" w:sz="12" w:space="0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 xml:space="preserve">14.50 </w:t>
            </w:r>
          </w:p>
        </w:tc>
        <w:tc>
          <w:tcPr>
            <w:tcW w:w="458" w:type="pct"/>
            <w:tcBorders>
              <w:top w:val="single" w:color="auto" w:sz="12" w:space="0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576</w:t>
            </w:r>
          </w:p>
        </w:tc>
        <w:tc>
          <w:tcPr>
            <w:tcW w:w="457" w:type="pct"/>
            <w:tcBorders>
              <w:top w:val="single" w:color="auto" w:sz="12" w:space="0"/>
              <w:left w:val="nil"/>
              <w:bottom w:val="nil"/>
              <w:right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107-01-7</w:t>
            </w:r>
          </w:p>
        </w:tc>
        <w:tc>
          <w:tcPr>
            <w:tcW w:w="512" w:type="pct"/>
            <w:tcBorders>
              <w:top w:val="single" w:color="auto" w:sz="12" w:space="0"/>
              <w:left w:val="nil"/>
              <w:bottom w:val="nil"/>
              <w:right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C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  <w:vertAlign w:val="subscript"/>
              </w:rPr>
              <w:t>4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H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  <w:vertAlign w:val="subscript"/>
              </w:rPr>
              <w:t>8</w:t>
            </w:r>
          </w:p>
        </w:tc>
        <w:tc>
          <w:tcPr>
            <w:tcW w:w="997" w:type="pct"/>
            <w:tcBorders>
              <w:top w:val="single" w:color="auto" w:sz="12" w:space="0"/>
              <w:left w:val="nil"/>
              <w:bottom w:val="nil"/>
              <w:right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2-Butene</w:t>
            </w:r>
          </w:p>
        </w:tc>
        <w:tc>
          <w:tcPr>
            <w:tcW w:w="435" w:type="pct"/>
            <w:tcBorders>
              <w:top w:val="single" w:color="auto" w:sz="12" w:space="0"/>
              <w:left w:val="nil"/>
              <w:bottom w:val="nil"/>
              <w:right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86.81</w:t>
            </w:r>
          </w:p>
        </w:tc>
        <w:tc>
          <w:tcPr>
            <w:tcW w:w="765" w:type="pct"/>
            <w:tcBorders>
              <w:top w:val="single" w:color="auto" w:sz="12" w:space="0"/>
              <w:left w:val="nil"/>
              <w:bottom w:val="nil"/>
              <w:right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Aromatic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  <w:jc w:val="center"/>
        </w:trPr>
        <w:tc>
          <w:tcPr>
            <w:tcW w:w="454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 xml:space="preserve">16.96 </w:t>
            </w:r>
          </w:p>
        </w:tc>
        <w:tc>
          <w:tcPr>
            <w:tcW w:w="460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439</w:t>
            </w:r>
          </w:p>
        </w:tc>
        <w:tc>
          <w:tcPr>
            <w:tcW w:w="45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 xml:space="preserve">14.50 </w:t>
            </w:r>
          </w:p>
        </w:tc>
        <w:tc>
          <w:tcPr>
            <w:tcW w:w="458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576</w:t>
            </w:r>
          </w:p>
        </w:tc>
        <w:tc>
          <w:tcPr>
            <w:tcW w:w="45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107-02-8</w:t>
            </w:r>
          </w:p>
        </w:tc>
        <w:tc>
          <w:tcPr>
            <w:tcW w:w="51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C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  <w:vertAlign w:val="subscript"/>
              </w:rPr>
              <w:t>3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H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  <w:vertAlign w:val="subscript"/>
              </w:rPr>
              <w:t>4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O</w:t>
            </w:r>
          </w:p>
        </w:tc>
        <w:tc>
          <w:tcPr>
            <w:tcW w:w="99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Propenal</w:t>
            </w:r>
          </w:p>
        </w:tc>
        <w:tc>
          <w:tcPr>
            <w:tcW w:w="43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75.19</w:t>
            </w:r>
          </w:p>
        </w:tc>
        <w:tc>
          <w:tcPr>
            <w:tcW w:w="76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eastAsia" w:ascii="Palatino Linotype" w:hAnsi="Palatino Linotype" w:eastAsia="宋体" w:cs="Palatino Linotype"/>
                <w:color w:val="000000"/>
                <w:sz w:val="18"/>
                <w:szCs w:val="18"/>
                <w:lang w:val="en-US" w:eastAsia="zh-CN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Almond</w:t>
            </w:r>
            <w:r>
              <w:rPr>
                <w:rFonts w:hint="eastAsia" w:cs="Palatino Linotype"/>
                <w:color w:val="000000"/>
                <w:sz w:val="18"/>
                <w:szCs w:val="18"/>
                <w:lang w:val="en-US" w:eastAsia="zh-CN"/>
              </w:rPr>
              <w:t>; Cherry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  <w:jc w:val="center"/>
        </w:trPr>
        <w:tc>
          <w:tcPr>
            <w:tcW w:w="454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 xml:space="preserve">18.16 </w:t>
            </w:r>
          </w:p>
        </w:tc>
        <w:tc>
          <w:tcPr>
            <w:tcW w:w="460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463</w:t>
            </w:r>
          </w:p>
        </w:tc>
        <w:tc>
          <w:tcPr>
            <w:tcW w:w="45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 xml:space="preserve">14.54 </w:t>
            </w:r>
          </w:p>
        </w:tc>
        <w:tc>
          <w:tcPr>
            <w:tcW w:w="458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577</w:t>
            </w:r>
          </w:p>
        </w:tc>
        <w:tc>
          <w:tcPr>
            <w:tcW w:w="45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64-17-5</w:t>
            </w:r>
          </w:p>
        </w:tc>
        <w:tc>
          <w:tcPr>
            <w:tcW w:w="51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C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  <w:vertAlign w:val="subscript"/>
              </w:rPr>
              <w:t>2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H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  <w:vertAlign w:val="subscript"/>
              </w:rPr>
              <w:t>6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O</w:t>
            </w:r>
          </w:p>
        </w:tc>
        <w:tc>
          <w:tcPr>
            <w:tcW w:w="99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eastAsia" w:cs="Palatino Linotype"/>
                <w:color w:val="000000"/>
                <w:sz w:val="18"/>
                <w:szCs w:val="18"/>
                <w:lang w:val="en-US" w:eastAsia="zh-CN"/>
              </w:rPr>
              <w:t>E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thanol</w:t>
            </w:r>
          </w:p>
        </w:tc>
        <w:tc>
          <w:tcPr>
            <w:tcW w:w="43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95.25</w:t>
            </w:r>
          </w:p>
        </w:tc>
        <w:tc>
          <w:tcPr>
            <w:tcW w:w="76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eastAsia" w:ascii="Palatino Linotype" w:hAnsi="Palatino Linotype" w:eastAsia="宋体" w:cs="Palatino Linotype"/>
                <w:color w:val="000000"/>
                <w:sz w:val="18"/>
                <w:szCs w:val="18"/>
                <w:lang w:val="en-US" w:eastAsia="zh-CN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Spicy</w:t>
            </w:r>
            <w:r>
              <w:rPr>
                <w:rFonts w:hint="eastAsia" w:cs="Palatino Linotype"/>
                <w:color w:val="000000"/>
                <w:sz w:val="18"/>
                <w:szCs w:val="18"/>
                <w:lang w:val="en-US" w:eastAsia="zh-CN"/>
              </w:rPr>
              <w:t>; Ethanol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  <w:jc w:val="center"/>
        </w:trPr>
        <w:tc>
          <w:tcPr>
            <w:tcW w:w="454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 xml:space="preserve">22.64 </w:t>
            </w:r>
          </w:p>
        </w:tc>
        <w:tc>
          <w:tcPr>
            <w:tcW w:w="460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552</w:t>
            </w:r>
          </w:p>
        </w:tc>
        <w:tc>
          <w:tcPr>
            <w:tcW w:w="45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 xml:space="preserve">18.12 </w:t>
            </w:r>
          </w:p>
        </w:tc>
        <w:tc>
          <w:tcPr>
            <w:tcW w:w="458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694</w:t>
            </w:r>
          </w:p>
        </w:tc>
        <w:tc>
          <w:tcPr>
            <w:tcW w:w="45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71-23-8</w:t>
            </w:r>
          </w:p>
        </w:tc>
        <w:tc>
          <w:tcPr>
            <w:tcW w:w="51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C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  <w:vertAlign w:val="subscript"/>
              </w:rPr>
              <w:t>3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H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  <w:vertAlign w:val="subscript"/>
              </w:rPr>
              <w:t>8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O</w:t>
            </w:r>
          </w:p>
        </w:tc>
        <w:tc>
          <w:tcPr>
            <w:tcW w:w="99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1-Propanol</w:t>
            </w:r>
          </w:p>
        </w:tc>
        <w:tc>
          <w:tcPr>
            <w:tcW w:w="43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86.95</w:t>
            </w:r>
          </w:p>
        </w:tc>
        <w:tc>
          <w:tcPr>
            <w:tcW w:w="76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eastAsia" w:ascii="Palatino Linotype" w:hAnsi="Palatino Linotype" w:eastAsia="宋体" w:cs="Palatino Linotype"/>
                <w:color w:val="000000"/>
                <w:sz w:val="18"/>
                <w:szCs w:val="18"/>
                <w:lang w:val="en-US" w:eastAsia="zh-CN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Spicy</w:t>
            </w:r>
            <w:r>
              <w:rPr>
                <w:rFonts w:hint="eastAsia" w:cs="Palatino Linotype"/>
                <w:color w:val="000000"/>
                <w:sz w:val="18"/>
                <w:szCs w:val="18"/>
                <w:lang w:val="en-US" w:eastAsia="zh-CN"/>
              </w:rPr>
              <w:t>; Ethanol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  <w:jc w:val="center"/>
        </w:trPr>
        <w:tc>
          <w:tcPr>
            <w:tcW w:w="454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 xml:space="preserve">26.10 </w:t>
            </w:r>
          </w:p>
        </w:tc>
        <w:tc>
          <w:tcPr>
            <w:tcW w:w="460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621</w:t>
            </w:r>
          </w:p>
        </w:tc>
        <w:tc>
          <w:tcPr>
            <w:tcW w:w="45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 xml:space="preserve">15.18 </w:t>
            </w:r>
          </w:p>
        </w:tc>
        <w:tc>
          <w:tcPr>
            <w:tcW w:w="458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598</w:t>
            </w:r>
          </w:p>
        </w:tc>
        <w:tc>
          <w:tcPr>
            <w:tcW w:w="45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110-54-3</w:t>
            </w:r>
          </w:p>
        </w:tc>
        <w:tc>
          <w:tcPr>
            <w:tcW w:w="51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C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  <w:vertAlign w:val="subscript"/>
              </w:rPr>
              <w:t>6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H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  <w:vertAlign w:val="subscript"/>
              </w:rPr>
              <w:t>14</w:t>
            </w:r>
          </w:p>
        </w:tc>
        <w:tc>
          <w:tcPr>
            <w:tcW w:w="99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Hexane</w:t>
            </w:r>
          </w:p>
        </w:tc>
        <w:tc>
          <w:tcPr>
            <w:tcW w:w="43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90.58</w:t>
            </w:r>
          </w:p>
        </w:tc>
        <w:tc>
          <w:tcPr>
            <w:tcW w:w="76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eastAsia" w:ascii="Palatino Linotype" w:hAnsi="Palatino Linotype" w:eastAsia="宋体" w:cs="Palatino Linotype"/>
                <w:color w:val="000000"/>
                <w:sz w:val="18"/>
                <w:szCs w:val="18"/>
                <w:lang w:val="en-US" w:eastAsia="zh-CN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Gasoline</w:t>
            </w:r>
            <w:r>
              <w:rPr>
                <w:rFonts w:hint="eastAsia" w:cs="Palatino Linotype"/>
                <w:color w:val="000000"/>
                <w:sz w:val="18"/>
                <w:szCs w:val="18"/>
                <w:lang w:val="en-US" w:eastAsia="zh-CN"/>
              </w:rPr>
              <w:t>; Alkane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  <w:jc w:val="center"/>
        </w:trPr>
        <w:tc>
          <w:tcPr>
            <w:tcW w:w="454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 xml:space="preserve">26.98 </w:t>
            </w:r>
          </w:p>
        </w:tc>
        <w:tc>
          <w:tcPr>
            <w:tcW w:w="460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639</w:t>
            </w:r>
          </w:p>
        </w:tc>
        <w:tc>
          <w:tcPr>
            <w:tcW w:w="45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 xml:space="preserve">16.34 </w:t>
            </w:r>
          </w:p>
        </w:tc>
        <w:tc>
          <w:tcPr>
            <w:tcW w:w="458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636</w:t>
            </w:r>
          </w:p>
        </w:tc>
        <w:tc>
          <w:tcPr>
            <w:tcW w:w="45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96-37-7</w:t>
            </w:r>
          </w:p>
        </w:tc>
        <w:tc>
          <w:tcPr>
            <w:tcW w:w="51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C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  <w:vertAlign w:val="subscript"/>
              </w:rPr>
              <w:t>6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H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  <w:vertAlign w:val="subscript"/>
              </w:rPr>
              <w:t>12</w:t>
            </w:r>
          </w:p>
        </w:tc>
        <w:tc>
          <w:tcPr>
            <w:tcW w:w="99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methylcyclopentane</w:t>
            </w:r>
          </w:p>
        </w:tc>
        <w:tc>
          <w:tcPr>
            <w:tcW w:w="43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81.25</w:t>
            </w:r>
          </w:p>
        </w:tc>
        <w:tc>
          <w:tcPr>
            <w:tcW w:w="76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eastAsia" w:ascii="Palatino Linotype" w:hAnsi="Palatino Linotype" w:eastAsia="宋体" w:cs="Palatino Linotype"/>
                <w:color w:val="000000"/>
                <w:sz w:val="18"/>
                <w:szCs w:val="18"/>
                <w:lang w:val="en-US" w:eastAsia="zh-CN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Gasoline</w:t>
            </w:r>
            <w:r>
              <w:rPr>
                <w:rFonts w:hint="eastAsia" w:cs="Palatino Linotype"/>
                <w:color w:val="000000"/>
                <w:sz w:val="18"/>
                <w:szCs w:val="18"/>
                <w:lang w:val="en-US" w:eastAsia="zh-CN"/>
              </w:rPr>
              <w:t>; Gasoline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  <w:jc w:val="center"/>
        </w:trPr>
        <w:tc>
          <w:tcPr>
            <w:tcW w:w="454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 xml:space="preserve">37.08 </w:t>
            </w:r>
          </w:p>
        </w:tc>
        <w:tc>
          <w:tcPr>
            <w:tcW w:w="460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761</w:t>
            </w:r>
          </w:p>
        </w:tc>
        <w:tc>
          <w:tcPr>
            <w:tcW w:w="45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 xml:space="preserve">25.72 </w:t>
            </w:r>
          </w:p>
        </w:tc>
        <w:tc>
          <w:tcPr>
            <w:tcW w:w="458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834</w:t>
            </w:r>
          </w:p>
        </w:tc>
        <w:tc>
          <w:tcPr>
            <w:tcW w:w="45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623-43-8</w:t>
            </w:r>
          </w:p>
        </w:tc>
        <w:tc>
          <w:tcPr>
            <w:tcW w:w="51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C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  <w:vertAlign w:val="subscript"/>
              </w:rPr>
              <w:t>5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H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  <w:vertAlign w:val="subscript"/>
              </w:rPr>
              <w:t>8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O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  <w:vertAlign w:val="subscript"/>
              </w:rPr>
              <w:t>2</w:t>
            </w:r>
          </w:p>
        </w:tc>
        <w:tc>
          <w:tcPr>
            <w:tcW w:w="99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Methyl crotonate</w:t>
            </w:r>
          </w:p>
        </w:tc>
        <w:tc>
          <w:tcPr>
            <w:tcW w:w="43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95.03</w:t>
            </w:r>
          </w:p>
        </w:tc>
        <w:tc>
          <w:tcPr>
            <w:tcW w:w="76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eastAsia" w:ascii="Palatino Linotype" w:hAnsi="Palatino Linotype" w:eastAsia="宋体" w:cs="Palatino Linotype"/>
                <w:color w:val="000000"/>
                <w:sz w:val="18"/>
                <w:szCs w:val="18"/>
                <w:lang w:val="en-US" w:eastAsia="zh-CN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Fruity</w:t>
            </w:r>
            <w:r>
              <w:rPr>
                <w:rFonts w:hint="eastAsia" w:cs="Palatino Linotype"/>
                <w:color w:val="000000"/>
                <w:sz w:val="18"/>
                <w:szCs w:val="18"/>
                <w:lang w:val="en-US" w:eastAsia="zh-CN"/>
              </w:rPr>
              <w:t>; Green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  <w:jc w:val="center"/>
        </w:trPr>
        <w:tc>
          <w:tcPr>
            <w:tcW w:w="454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 xml:space="preserve">39.32 </w:t>
            </w:r>
          </w:p>
        </w:tc>
        <w:tc>
          <w:tcPr>
            <w:tcW w:w="460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781</w:t>
            </w:r>
          </w:p>
        </w:tc>
        <w:tc>
          <w:tcPr>
            <w:tcW w:w="45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 xml:space="preserve">27.16 </w:t>
            </w:r>
          </w:p>
        </w:tc>
        <w:tc>
          <w:tcPr>
            <w:tcW w:w="458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853</w:t>
            </w:r>
          </w:p>
        </w:tc>
        <w:tc>
          <w:tcPr>
            <w:tcW w:w="45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105-54-4</w:t>
            </w:r>
          </w:p>
        </w:tc>
        <w:tc>
          <w:tcPr>
            <w:tcW w:w="51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C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  <w:vertAlign w:val="subscript"/>
              </w:rPr>
              <w:t>6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H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  <w:vertAlign w:val="subscript"/>
              </w:rPr>
              <w:t>12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O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  <w:vertAlign w:val="subscript"/>
              </w:rPr>
              <w:t>2</w:t>
            </w:r>
          </w:p>
        </w:tc>
        <w:tc>
          <w:tcPr>
            <w:tcW w:w="99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eastAsia" w:cs="Palatino Linotype"/>
                <w:color w:val="000000"/>
                <w:sz w:val="18"/>
                <w:szCs w:val="18"/>
                <w:lang w:val="en-US" w:eastAsia="zh-CN"/>
              </w:rPr>
              <w:t>E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thyl butyrate</w:t>
            </w:r>
          </w:p>
        </w:tc>
        <w:tc>
          <w:tcPr>
            <w:tcW w:w="43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83.57</w:t>
            </w:r>
          </w:p>
        </w:tc>
        <w:tc>
          <w:tcPr>
            <w:tcW w:w="76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eastAsia" w:ascii="Palatino Linotype" w:hAnsi="Palatino Linotype" w:eastAsia="宋体" w:cs="Palatino Linotype"/>
                <w:color w:val="000000"/>
                <w:sz w:val="18"/>
                <w:szCs w:val="18"/>
                <w:lang w:val="en-US" w:eastAsia="zh-CN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Fruity</w:t>
            </w:r>
            <w:r>
              <w:rPr>
                <w:rFonts w:hint="eastAsia" w:cs="Palatino Linotype"/>
                <w:color w:val="000000"/>
                <w:sz w:val="18"/>
                <w:szCs w:val="18"/>
                <w:lang w:val="en-US" w:eastAsia="zh-CN"/>
              </w:rPr>
              <w:t>; Sweety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  <w:jc w:val="center"/>
        </w:trPr>
        <w:tc>
          <w:tcPr>
            <w:tcW w:w="454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 xml:space="preserve">41.90 </w:t>
            </w:r>
          </w:p>
        </w:tc>
        <w:tc>
          <w:tcPr>
            <w:tcW w:w="460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804</w:t>
            </w:r>
          </w:p>
        </w:tc>
        <w:tc>
          <w:tcPr>
            <w:tcW w:w="45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 xml:space="preserve">30.26 </w:t>
            </w:r>
          </w:p>
        </w:tc>
        <w:tc>
          <w:tcPr>
            <w:tcW w:w="458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895</w:t>
            </w:r>
          </w:p>
        </w:tc>
        <w:tc>
          <w:tcPr>
            <w:tcW w:w="45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6789-80-6</w:t>
            </w:r>
          </w:p>
        </w:tc>
        <w:tc>
          <w:tcPr>
            <w:tcW w:w="51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C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  <w:vertAlign w:val="subscript"/>
              </w:rPr>
              <w:t>6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H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  <w:vertAlign w:val="subscript"/>
              </w:rPr>
              <w:t>10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O</w:t>
            </w:r>
          </w:p>
        </w:tc>
        <w:tc>
          <w:tcPr>
            <w:tcW w:w="99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(Z)-3-hexenal</w:t>
            </w:r>
          </w:p>
        </w:tc>
        <w:tc>
          <w:tcPr>
            <w:tcW w:w="43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87.58</w:t>
            </w:r>
          </w:p>
        </w:tc>
        <w:tc>
          <w:tcPr>
            <w:tcW w:w="76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宋体" w:cs="Palatino Linotype"/>
                <w:color w:val="000000"/>
                <w:sz w:val="18"/>
                <w:szCs w:val="18"/>
                <w:lang w:val="en-US" w:eastAsia="zh-CN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Fruity</w:t>
            </w:r>
            <w:r>
              <w:rPr>
                <w:rFonts w:hint="eastAsia" w:cs="Palatino Linotype"/>
                <w:color w:val="000000"/>
                <w:sz w:val="18"/>
                <w:szCs w:val="18"/>
                <w:lang w:val="en-US" w:eastAsia="zh-CN"/>
              </w:rPr>
              <w:t>; Oak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  <w:jc w:val="center"/>
        </w:trPr>
        <w:tc>
          <w:tcPr>
            <w:tcW w:w="454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 xml:space="preserve">47.04 </w:t>
            </w:r>
          </w:p>
        </w:tc>
        <w:tc>
          <w:tcPr>
            <w:tcW w:w="460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855</w:t>
            </w:r>
          </w:p>
        </w:tc>
        <w:tc>
          <w:tcPr>
            <w:tcW w:w="45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 xml:space="preserve">32.28 </w:t>
            </w:r>
          </w:p>
        </w:tc>
        <w:tc>
          <w:tcPr>
            <w:tcW w:w="458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919</w:t>
            </w:r>
          </w:p>
        </w:tc>
        <w:tc>
          <w:tcPr>
            <w:tcW w:w="45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7452-79-1</w:t>
            </w:r>
          </w:p>
        </w:tc>
        <w:tc>
          <w:tcPr>
            <w:tcW w:w="51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C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  <w:vertAlign w:val="subscript"/>
              </w:rPr>
              <w:t>7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H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  <w:vertAlign w:val="subscript"/>
              </w:rPr>
              <w:t>14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O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  <w:vertAlign w:val="subscript"/>
              </w:rPr>
              <w:t>2</w:t>
            </w:r>
          </w:p>
        </w:tc>
        <w:tc>
          <w:tcPr>
            <w:tcW w:w="99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Butanoic acid</w:t>
            </w:r>
          </w:p>
        </w:tc>
        <w:tc>
          <w:tcPr>
            <w:tcW w:w="43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96.01</w:t>
            </w:r>
          </w:p>
        </w:tc>
        <w:tc>
          <w:tcPr>
            <w:tcW w:w="76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宋体" w:cs="Palatino Linotype"/>
                <w:color w:val="000000"/>
                <w:sz w:val="18"/>
                <w:szCs w:val="18"/>
                <w:lang w:val="en-US" w:eastAsia="zh-CN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Fruity</w:t>
            </w:r>
            <w:r>
              <w:rPr>
                <w:rFonts w:hint="eastAsia" w:cs="Palatino Linotype"/>
                <w:color w:val="000000"/>
                <w:sz w:val="18"/>
                <w:szCs w:val="18"/>
                <w:lang w:val="en-US" w:eastAsia="zh-CN"/>
              </w:rPr>
              <w:t>; Apple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  <w:jc w:val="center"/>
        </w:trPr>
        <w:tc>
          <w:tcPr>
            <w:tcW w:w="454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 xml:space="preserve">52.52 </w:t>
            </w:r>
          </w:p>
        </w:tc>
        <w:tc>
          <w:tcPr>
            <w:tcW w:w="460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911</w:t>
            </w:r>
          </w:p>
        </w:tc>
        <w:tc>
          <w:tcPr>
            <w:tcW w:w="45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 xml:space="preserve">44.24 </w:t>
            </w:r>
          </w:p>
        </w:tc>
        <w:tc>
          <w:tcPr>
            <w:tcW w:w="458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1066</w:t>
            </w:r>
          </w:p>
        </w:tc>
        <w:tc>
          <w:tcPr>
            <w:tcW w:w="45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109-52-4</w:t>
            </w:r>
          </w:p>
        </w:tc>
        <w:tc>
          <w:tcPr>
            <w:tcW w:w="51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C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  <w:vertAlign w:val="subscript"/>
              </w:rPr>
              <w:t>5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H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  <w:vertAlign w:val="subscript"/>
              </w:rPr>
              <w:t>10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O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  <w:vertAlign w:val="subscript"/>
              </w:rPr>
              <w:t>2</w:t>
            </w:r>
          </w:p>
        </w:tc>
        <w:tc>
          <w:tcPr>
            <w:tcW w:w="99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eastAsia" w:cs="Palatino Linotype"/>
                <w:color w:val="000000"/>
                <w:sz w:val="18"/>
                <w:szCs w:val="18"/>
                <w:lang w:val="en-US" w:eastAsia="zh-CN"/>
              </w:rPr>
              <w:t>P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entanoic acid</w:t>
            </w:r>
          </w:p>
        </w:tc>
        <w:tc>
          <w:tcPr>
            <w:tcW w:w="43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72.63</w:t>
            </w:r>
          </w:p>
        </w:tc>
        <w:tc>
          <w:tcPr>
            <w:tcW w:w="76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宋体" w:cs="Palatino Linotype"/>
                <w:color w:val="000000"/>
                <w:sz w:val="18"/>
                <w:szCs w:val="18"/>
                <w:lang w:val="en-US" w:eastAsia="zh-CN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Spicy</w:t>
            </w:r>
            <w:r>
              <w:rPr>
                <w:rFonts w:hint="eastAsia" w:cs="Palatino Linotype"/>
                <w:color w:val="000000"/>
                <w:sz w:val="18"/>
                <w:szCs w:val="18"/>
                <w:lang w:val="en-US" w:eastAsia="zh-CN"/>
              </w:rPr>
              <w:t>; Sweety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  <w:jc w:val="center"/>
        </w:trPr>
        <w:tc>
          <w:tcPr>
            <w:tcW w:w="454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 xml:space="preserve">54.16 </w:t>
            </w:r>
          </w:p>
        </w:tc>
        <w:tc>
          <w:tcPr>
            <w:tcW w:w="460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932</w:t>
            </w:r>
          </w:p>
        </w:tc>
        <w:tc>
          <w:tcPr>
            <w:tcW w:w="45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 xml:space="preserve">38.06 </w:t>
            </w:r>
          </w:p>
        </w:tc>
        <w:tc>
          <w:tcPr>
            <w:tcW w:w="458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985</w:t>
            </w:r>
          </w:p>
        </w:tc>
        <w:tc>
          <w:tcPr>
            <w:tcW w:w="45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7785-26-4</w:t>
            </w:r>
          </w:p>
        </w:tc>
        <w:tc>
          <w:tcPr>
            <w:tcW w:w="51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C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  <w:vertAlign w:val="subscript"/>
              </w:rPr>
              <w:t>10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H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  <w:vertAlign w:val="subscript"/>
              </w:rPr>
              <w:t>16</w:t>
            </w:r>
          </w:p>
        </w:tc>
        <w:tc>
          <w:tcPr>
            <w:tcW w:w="99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i/>
                <w:iCs/>
                <w:color w:val="000000"/>
                <w:sz w:val="18"/>
                <w:szCs w:val="18"/>
              </w:rPr>
              <w:t>a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-pinene</w:t>
            </w:r>
          </w:p>
        </w:tc>
        <w:tc>
          <w:tcPr>
            <w:tcW w:w="43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83.14</w:t>
            </w:r>
          </w:p>
        </w:tc>
        <w:tc>
          <w:tcPr>
            <w:tcW w:w="76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宋体" w:cs="Palatino Linotype"/>
                <w:color w:val="000000"/>
                <w:sz w:val="18"/>
                <w:szCs w:val="18"/>
                <w:lang w:val="en-US" w:eastAsia="zh-CN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Resin</w:t>
            </w:r>
            <w:r>
              <w:rPr>
                <w:rFonts w:hint="eastAsia" w:cs="Palatino Linotype"/>
                <w:color w:val="000000"/>
                <w:sz w:val="18"/>
                <w:szCs w:val="18"/>
                <w:lang w:val="en-US" w:eastAsia="zh-CN"/>
              </w:rPr>
              <w:t>; Terpenoids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  <w:jc w:val="center"/>
        </w:trPr>
        <w:tc>
          <w:tcPr>
            <w:tcW w:w="454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 xml:space="preserve">55.74 </w:t>
            </w:r>
          </w:p>
        </w:tc>
        <w:tc>
          <w:tcPr>
            <w:tcW w:w="460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951</w:t>
            </w:r>
          </w:p>
        </w:tc>
        <w:tc>
          <w:tcPr>
            <w:tcW w:w="45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 xml:space="preserve">48.72 </w:t>
            </w:r>
          </w:p>
        </w:tc>
        <w:tc>
          <w:tcPr>
            <w:tcW w:w="458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1130</w:t>
            </w:r>
          </w:p>
        </w:tc>
        <w:tc>
          <w:tcPr>
            <w:tcW w:w="45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620-02-0</w:t>
            </w:r>
          </w:p>
        </w:tc>
        <w:tc>
          <w:tcPr>
            <w:tcW w:w="51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C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  <w:vertAlign w:val="subscript"/>
              </w:rPr>
              <w:t>6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H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  <w:vertAlign w:val="subscript"/>
              </w:rPr>
              <w:t>6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O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  <w:vertAlign w:val="subscript"/>
              </w:rPr>
              <w:t>2</w:t>
            </w:r>
          </w:p>
        </w:tc>
        <w:tc>
          <w:tcPr>
            <w:tcW w:w="99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5-Methylfurfural</w:t>
            </w:r>
          </w:p>
        </w:tc>
        <w:tc>
          <w:tcPr>
            <w:tcW w:w="43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83.93</w:t>
            </w:r>
          </w:p>
        </w:tc>
        <w:tc>
          <w:tcPr>
            <w:tcW w:w="76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宋体" w:cs="Palatino Linotype"/>
                <w:color w:val="000000"/>
                <w:sz w:val="18"/>
                <w:szCs w:val="18"/>
                <w:lang w:val="en-US" w:eastAsia="zh-CN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Spicy</w:t>
            </w:r>
            <w:r>
              <w:rPr>
                <w:rFonts w:hint="eastAsia" w:cs="Palatino Linotype"/>
                <w:color w:val="000000"/>
                <w:sz w:val="18"/>
                <w:szCs w:val="18"/>
                <w:lang w:val="en-US" w:eastAsia="zh-CN"/>
              </w:rPr>
              <w:t>; Almond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  <w:jc w:val="center"/>
        </w:trPr>
        <w:tc>
          <w:tcPr>
            <w:tcW w:w="454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 xml:space="preserve">57.04 </w:t>
            </w:r>
          </w:p>
        </w:tc>
        <w:tc>
          <w:tcPr>
            <w:tcW w:w="460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967</w:t>
            </w:r>
          </w:p>
        </w:tc>
        <w:tc>
          <w:tcPr>
            <w:tcW w:w="45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 xml:space="preserve">39.82 </w:t>
            </w:r>
          </w:p>
        </w:tc>
        <w:tc>
          <w:tcPr>
            <w:tcW w:w="458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1006</w:t>
            </w:r>
          </w:p>
        </w:tc>
        <w:tc>
          <w:tcPr>
            <w:tcW w:w="45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127-91-3</w:t>
            </w:r>
          </w:p>
        </w:tc>
        <w:tc>
          <w:tcPr>
            <w:tcW w:w="51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C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  <w:vertAlign w:val="subscript"/>
              </w:rPr>
              <w:t>10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H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  <w:vertAlign w:val="subscript"/>
              </w:rPr>
              <w:t>16</w:t>
            </w:r>
          </w:p>
        </w:tc>
        <w:tc>
          <w:tcPr>
            <w:tcW w:w="99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cs="Palatino Linotype"/>
                <w:i/>
                <w:iCs/>
                <w:color w:val="000000"/>
                <w:sz w:val="18"/>
                <w:szCs w:val="18"/>
                <w:lang w:val="en-US" w:eastAsia="zh-CN"/>
              </w:rPr>
              <w:t>β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-Pinene</w:t>
            </w:r>
          </w:p>
        </w:tc>
        <w:tc>
          <w:tcPr>
            <w:tcW w:w="43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95.16</w:t>
            </w:r>
          </w:p>
        </w:tc>
        <w:tc>
          <w:tcPr>
            <w:tcW w:w="76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宋体" w:cs="Palatino Linotype"/>
                <w:color w:val="000000"/>
                <w:sz w:val="18"/>
                <w:szCs w:val="18"/>
                <w:lang w:val="en-US" w:eastAsia="zh-CN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Resin</w:t>
            </w:r>
            <w:r>
              <w:rPr>
                <w:rFonts w:hint="eastAsia" w:cs="Palatino Linotype"/>
                <w:color w:val="000000"/>
                <w:sz w:val="18"/>
                <w:szCs w:val="18"/>
                <w:lang w:val="en-US" w:eastAsia="zh-CN"/>
              </w:rPr>
              <w:t>; Wooden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  <w:jc w:val="center"/>
        </w:trPr>
        <w:tc>
          <w:tcPr>
            <w:tcW w:w="454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 xml:space="preserve">58.69 </w:t>
            </w:r>
          </w:p>
        </w:tc>
        <w:tc>
          <w:tcPr>
            <w:tcW w:w="460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987</w:t>
            </w:r>
          </w:p>
        </w:tc>
        <w:tc>
          <w:tcPr>
            <w:tcW w:w="45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 xml:space="preserve">33.47 </w:t>
            </w:r>
          </w:p>
        </w:tc>
        <w:tc>
          <w:tcPr>
            <w:tcW w:w="458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932</w:t>
            </w:r>
          </w:p>
        </w:tc>
        <w:tc>
          <w:tcPr>
            <w:tcW w:w="45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123-35-3</w:t>
            </w:r>
          </w:p>
        </w:tc>
        <w:tc>
          <w:tcPr>
            <w:tcW w:w="51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C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  <w:vertAlign w:val="subscript"/>
              </w:rPr>
              <w:t>10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H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  <w:vertAlign w:val="subscript"/>
              </w:rPr>
              <w:t>16</w:t>
            </w:r>
          </w:p>
        </w:tc>
        <w:tc>
          <w:tcPr>
            <w:tcW w:w="99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Myrcene</w:t>
            </w:r>
          </w:p>
        </w:tc>
        <w:tc>
          <w:tcPr>
            <w:tcW w:w="43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eastAsia" w:ascii="Palatino Linotype" w:hAnsi="Palatino Linotype" w:eastAsia="宋体" w:cs="Palatino Linotype"/>
                <w:color w:val="000000"/>
                <w:sz w:val="18"/>
                <w:szCs w:val="18"/>
                <w:lang w:val="en-US" w:eastAsia="zh-CN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91.6</w:t>
            </w:r>
            <w:r>
              <w:rPr>
                <w:rFonts w:hint="eastAsia" w:cs="Palatino Linotype"/>
                <w:color w:val="000000"/>
                <w:sz w:val="18"/>
                <w:szCs w:val="18"/>
                <w:lang w:val="en-US" w:eastAsia="zh-CN"/>
              </w:rPr>
              <w:t>0</w:t>
            </w:r>
          </w:p>
        </w:tc>
        <w:tc>
          <w:tcPr>
            <w:tcW w:w="76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宋体" w:cs="Palatino Linotype"/>
                <w:color w:val="000000"/>
                <w:sz w:val="18"/>
                <w:szCs w:val="18"/>
                <w:lang w:val="en-US" w:eastAsia="zh-CN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Fruity</w:t>
            </w:r>
            <w:r>
              <w:rPr>
                <w:rFonts w:hint="eastAsia" w:cs="Palatino Linotype"/>
                <w:color w:val="000000"/>
                <w:sz w:val="18"/>
                <w:szCs w:val="18"/>
                <w:lang w:val="en-US" w:eastAsia="zh-CN"/>
              </w:rPr>
              <w:t>; Lemon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  <w:jc w:val="center"/>
        </w:trPr>
        <w:tc>
          <w:tcPr>
            <w:tcW w:w="454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 xml:space="preserve">59.16 </w:t>
            </w:r>
          </w:p>
        </w:tc>
        <w:tc>
          <w:tcPr>
            <w:tcW w:w="460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993</w:t>
            </w:r>
          </w:p>
        </w:tc>
        <w:tc>
          <w:tcPr>
            <w:tcW w:w="45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 xml:space="preserve">47.16 </w:t>
            </w:r>
          </w:p>
        </w:tc>
        <w:tc>
          <w:tcPr>
            <w:tcW w:w="458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1106</w:t>
            </w:r>
          </w:p>
        </w:tc>
        <w:tc>
          <w:tcPr>
            <w:tcW w:w="45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124-13-0</w:t>
            </w:r>
          </w:p>
        </w:tc>
        <w:tc>
          <w:tcPr>
            <w:tcW w:w="51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C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  <w:vertAlign w:val="subscript"/>
              </w:rPr>
              <w:t>8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H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  <w:vertAlign w:val="subscript"/>
              </w:rPr>
              <w:t>16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O</w:t>
            </w:r>
          </w:p>
        </w:tc>
        <w:tc>
          <w:tcPr>
            <w:tcW w:w="99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Octanal</w:t>
            </w:r>
          </w:p>
        </w:tc>
        <w:tc>
          <w:tcPr>
            <w:tcW w:w="43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88.77</w:t>
            </w:r>
          </w:p>
        </w:tc>
        <w:tc>
          <w:tcPr>
            <w:tcW w:w="76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宋体" w:cs="Palatino Linotype"/>
                <w:color w:val="000000"/>
                <w:sz w:val="18"/>
                <w:szCs w:val="18"/>
                <w:lang w:val="en-US" w:eastAsia="zh-CN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Fruity</w:t>
            </w:r>
            <w:r>
              <w:rPr>
                <w:rFonts w:hint="eastAsia" w:cs="Palatino Linotype"/>
                <w:color w:val="000000"/>
                <w:sz w:val="18"/>
                <w:szCs w:val="18"/>
                <w:lang w:val="en-US" w:eastAsia="zh-CN"/>
              </w:rPr>
              <w:t>; Orange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  <w:jc w:val="center"/>
        </w:trPr>
        <w:tc>
          <w:tcPr>
            <w:tcW w:w="454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 xml:space="preserve">59.74 </w:t>
            </w:r>
          </w:p>
        </w:tc>
        <w:tc>
          <w:tcPr>
            <w:tcW w:w="460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1000</w:t>
            </w:r>
          </w:p>
        </w:tc>
        <w:tc>
          <w:tcPr>
            <w:tcW w:w="45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 xml:space="preserve">42.00 </w:t>
            </w:r>
          </w:p>
        </w:tc>
        <w:tc>
          <w:tcPr>
            <w:tcW w:w="458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1036</w:t>
            </w:r>
          </w:p>
        </w:tc>
        <w:tc>
          <w:tcPr>
            <w:tcW w:w="45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99-83-2</w:t>
            </w:r>
          </w:p>
        </w:tc>
        <w:tc>
          <w:tcPr>
            <w:tcW w:w="51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C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  <w:vertAlign w:val="subscript"/>
              </w:rPr>
              <w:t>10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H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  <w:vertAlign w:val="subscript"/>
              </w:rPr>
              <w:t>16</w:t>
            </w:r>
          </w:p>
        </w:tc>
        <w:tc>
          <w:tcPr>
            <w:tcW w:w="99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i/>
                <w:iCs/>
                <w:color w:val="000000"/>
                <w:sz w:val="18"/>
                <w:szCs w:val="18"/>
              </w:rPr>
              <w:t>a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-Phellandrene</w:t>
            </w:r>
          </w:p>
        </w:tc>
        <w:tc>
          <w:tcPr>
            <w:tcW w:w="43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79.98</w:t>
            </w:r>
          </w:p>
        </w:tc>
        <w:tc>
          <w:tcPr>
            <w:tcW w:w="76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宋体" w:cs="Palatino Linotype"/>
                <w:color w:val="000000"/>
                <w:sz w:val="18"/>
                <w:szCs w:val="18"/>
                <w:lang w:val="en-US" w:eastAsia="zh-CN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Spicy</w:t>
            </w:r>
            <w:r>
              <w:rPr>
                <w:rFonts w:hint="eastAsia" w:cs="Palatino Linotype"/>
                <w:color w:val="000000"/>
                <w:sz w:val="18"/>
                <w:szCs w:val="18"/>
                <w:lang w:val="en-US" w:eastAsia="zh-CN"/>
              </w:rPr>
              <w:t>; Orange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  <w:jc w:val="center"/>
        </w:trPr>
        <w:tc>
          <w:tcPr>
            <w:tcW w:w="454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 xml:space="preserve">62.45 </w:t>
            </w:r>
          </w:p>
        </w:tc>
        <w:tc>
          <w:tcPr>
            <w:tcW w:w="460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1041</w:t>
            </w:r>
          </w:p>
        </w:tc>
        <w:tc>
          <w:tcPr>
            <w:tcW w:w="45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 xml:space="preserve">56.66 </w:t>
            </w:r>
          </w:p>
        </w:tc>
        <w:tc>
          <w:tcPr>
            <w:tcW w:w="458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1263</w:t>
            </w:r>
          </w:p>
        </w:tc>
        <w:tc>
          <w:tcPr>
            <w:tcW w:w="45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19322-27-1</w:t>
            </w:r>
          </w:p>
        </w:tc>
        <w:tc>
          <w:tcPr>
            <w:tcW w:w="51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C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  <w:vertAlign w:val="subscript"/>
              </w:rPr>
              <w:t>5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H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  <w:vertAlign w:val="subscript"/>
              </w:rPr>
              <w:t>6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O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  <w:vertAlign w:val="subscript"/>
              </w:rPr>
              <w:t>3</w:t>
            </w:r>
          </w:p>
        </w:tc>
        <w:tc>
          <w:tcPr>
            <w:tcW w:w="99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norfuraneol</w:t>
            </w:r>
          </w:p>
        </w:tc>
        <w:tc>
          <w:tcPr>
            <w:tcW w:w="43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70.04</w:t>
            </w:r>
          </w:p>
        </w:tc>
        <w:tc>
          <w:tcPr>
            <w:tcW w:w="76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宋体" w:cs="Palatino Linotype"/>
                <w:color w:val="000000"/>
                <w:sz w:val="18"/>
                <w:szCs w:val="18"/>
                <w:lang w:val="en-US" w:eastAsia="zh-CN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Sweety</w:t>
            </w:r>
            <w:r>
              <w:rPr>
                <w:rFonts w:hint="eastAsia" w:cs="Palatino Linotype"/>
                <w:color w:val="000000"/>
                <w:sz w:val="18"/>
                <w:szCs w:val="18"/>
                <w:lang w:val="en-US" w:eastAsia="zh-CN"/>
              </w:rPr>
              <w:t>; Caramel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  <w:jc w:val="center"/>
        </w:trPr>
        <w:tc>
          <w:tcPr>
            <w:tcW w:w="454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 xml:space="preserve">63.19 </w:t>
            </w:r>
          </w:p>
        </w:tc>
        <w:tc>
          <w:tcPr>
            <w:tcW w:w="460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1055</w:t>
            </w:r>
          </w:p>
        </w:tc>
        <w:tc>
          <w:tcPr>
            <w:tcW w:w="45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 xml:space="preserve">47.70 </w:t>
            </w:r>
          </w:p>
        </w:tc>
        <w:tc>
          <w:tcPr>
            <w:tcW w:w="458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1115</w:t>
            </w:r>
          </w:p>
        </w:tc>
        <w:tc>
          <w:tcPr>
            <w:tcW w:w="45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99-85-4</w:t>
            </w:r>
          </w:p>
        </w:tc>
        <w:tc>
          <w:tcPr>
            <w:tcW w:w="51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C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  <w:vertAlign w:val="subscript"/>
              </w:rPr>
              <w:t>10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H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  <w:vertAlign w:val="subscript"/>
              </w:rPr>
              <w:t>16</w:t>
            </w:r>
          </w:p>
        </w:tc>
        <w:tc>
          <w:tcPr>
            <w:tcW w:w="99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cs="Palatino Linotype"/>
                <w:i/>
                <w:iCs/>
                <w:color w:val="000000"/>
                <w:sz w:val="18"/>
                <w:szCs w:val="18"/>
                <w:lang w:val="en-US" w:eastAsia="zh-CN"/>
              </w:rPr>
              <w:t>γ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-Terpinene</w:t>
            </w:r>
          </w:p>
        </w:tc>
        <w:tc>
          <w:tcPr>
            <w:tcW w:w="43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91.29</w:t>
            </w:r>
          </w:p>
        </w:tc>
        <w:tc>
          <w:tcPr>
            <w:tcW w:w="76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宋体" w:cs="Palatino Linotype"/>
                <w:color w:val="000000"/>
                <w:sz w:val="18"/>
                <w:szCs w:val="18"/>
                <w:lang w:val="en-US" w:eastAsia="zh-CN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Fruity</w:t>
            </w:r>
            <w:r>
              <w:rPr>
                <w:rFonts w:hint="eastAsia" w:cs="Palatino Linotype"/>
                <w:color w:val="000000"/>
                <w:sz w:val="18"/>
                <w:szCs w:val="18"/>
                <w:lang w:val="en-US" w:eastAsia="zh-CN"/>
              </w:rPr>
              <w:t>; Orange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  <w:jc w:val="center"/>
        </w:trPr>
        <w:tc>
          <w:tcPr>
            <w:tcW w:w="454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 xml:space="preserve">64.42 </w:t>
            </w:r>
          </w:p>
        </w:tc>
        <w:tc>
          <w:tcPr>
            <w:tcW w:w="460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1070</w:t>
            </w:r>
          </w:p>
        </w:tc>
        <w:tc>
          <w:tcPr>
            <w:tcW w:w="45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 xml:space="preserve">51.32 </w:t>
            </w:r>
          </w:p>
        </w:tc>
        <w:tc>
          <w:tcPr>
            <w:tcW w:w="458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1170</w:t>
            </w:r>
          </w:p>
        </w:tc>
        <w:tc>
          <w:tcPr>
            <w:tcW w:w="45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925-78-0</w:t>
            </w:r>
          </w:p>
        </w:tc>
        <w:tc>
          <w:tcPr>
            <w:tcW w:w="51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C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  <w:vertAlign w:val="subscript"/>
              </w:rPr>
              <w:t>9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H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  <w:vertAlign w:val="subscript"/>
              </w:rPr>
              <w:t>18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O</w:t>
            </w:r>
          </w:p>
        </w:tc>
        <w:tc>
          <w:tcPr>
            <w:tcW w:w="99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3-Nonanone</w:t>
            </w:r>
          </w:p>
        </w:tc>
        <w:tc>
          <w:tcPr>
            <w:tcW w:w="43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93.95</w:t>
            </w:r>
          </w:p>
        </w:tc>
        <w:tc>
          <w:tcPr>
            <w:tcW w:w="76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宋体" w:cs="Palatino Linotype"/>
                <w:color w:val="000000"/>
                <w:sz w:val="18"/>
                <w:szCs w:val="18"/>
                <w:lang w:val="en-US" w:eastAsia="zh-CN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Fruity</w:t>
            </w:r>
            <w:r>
              <w:rPr>
                <w:rFonts w:hint="eastAsia" w:cs="Palatino Linotype"/>
                <w:color w:val="000000"/>
                <w:sz w:val="18"/>
                <w:szCs w:val="18"/>
                <w:lang w:val="en-US" w:eastAsia="zh-CN"/>
              </w:rPr>
              <w:t>; Vegetable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  <w:jc w:val="center"/>
        </w:trPr>
        <w:tc>
          <w:tcPr>
            <w:tcW w:w="454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 xml:space="preserve">65.94 </w:t>
            </w:r>
          </w:p>
        </w:tc>
        <w:tc>
          <w:tcPr>
            <w:tcW w:w="460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1093</w:t>
            </w:r>
          </w:p>
        </w:tc>
        <w:tc>
          <w:tcPr>
            <w:tcW w:w="45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 xml:space="preserve">50.30 </w:t>
            </w:r>
          </w:p>
        </w:tc>
        <w:tc>
          <w:tcPr>
            <w:tcW w:w="458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1155</w:t>
            </w:r>
          </w:p>
        </w:tc>
        <w:tc>
          <w:tcPr>
            <w:tcW w:w="45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1195-32-0</w:t>
            </w:r>
          </w:p>
        </w:tc>
        <w:tc>
          <w:tcPr>
            <w:tcW w:w="51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C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  <w:vertAlign w:val="subscript"/>
              </w:rPr>
              <w:t>10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H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  <w:vertAlign w:val="subscript"/>
              </w:rPr>
              <w:t>12</w:t>
            </w:r>
          </w:p>
        </w:tc>
        <w:tc>
          <w:tcPr>
            <w:tcW w:w="99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p-Cymenene</w:t>
            </w:r>
          </w:p>
        </w:tc>
        <w:tc>
          <w:tcPr>
            <w:tcW w:w="43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79.12</w:t>
            </w:r>
          </w:p>
        </w:tc>
        <w:tc>
          <w:tcPr>
            <w:tcW w:w="76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宋体" w:cs="Palatino Linotype"/>
                <w:color w:val="000000"/>
                <w:sz w:val="18"/>
                <w:szCs w:val="18"/>
                <w:lang w:val="en-US" w:eastAsia="zh-CN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Fruity</w:t>
            </w:r>
            <w:r>
              <w:rPr>
                <w:rFonts w:hint="eastAsia" w:cs="Palatino Linotype"/>
                <w:color w:val="000000"/>
                <w:sz w:val="18"/>
                <w:szCs w:val="18"/>
                <w:lang w:val="en-US" w:eastAsia="zh-CN"/>
              </w:rPr>
              <w:t>; Orange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  <w:jc w:val="center"/>
        </w:trPr>
        <w:tc>
          <w:tcPr>
            <w:tcW w:w="454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 xml:space="preserve">66.64 </w:t>
            </w:r>
          </w:p>
        </w:tc>
        <w:tc>
          <w:tcPr>
            <w:tcW w:w="460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1104</w:t>
            </w:r>
          </w:p>
        </w:tc>
        <w:tc>
          <w:tcPr>
            <w:tcW w:w="45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 xml:space="preserve">51.38 </w:t>
            </w:r>
          </w:p>
        </w:tc>
        <w:tc>
          <w:tcPr>
            <w:tcW w:w="458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1171</w:t>
            </w:r>
          </w:p>
        </w:tc>
        <w:tc>
          <w:tcPr>
            <w:tcW w:w="45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124-19-6</w:t>
            </w:r>
          </w:p>
        </w:tc>
        <w:tc>
          <w:tcPr>
            <w:tcW w:w="51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C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  <w:vertAlign w:val="subscript"/>
              </w:rPr>
              <w:t>9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H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  <w:vertAlign w:val="subscript"/>
              </w:rPr>
              <w:t>18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O</w:t>
            </w:r>
          </w:p>
        </w:tc>
        <w:tc>
          <w:tcPr>
            <w:tcW w:w="99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n-nonanal</w:t>
            </w:r>
          </w:p>
        </w:tc>
        <w:tc>
          <w:tcPr>
            <w:tcW w:w="43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92.44</w:t>
            </w:r>
          </w:p>
        </w:tc>
        <w:tc>
          <w:tcPr>
            <w:tcW w:w="76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宋体" w:cs="Palatino Linotype"/>
                <w:color w:val="000000"/>
                <w:sz w:val="18"/>
                <w:szCs w:val="18"/>
                <w:lang w:val="en-US" w:eastAsia="zh-CN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Fruity</w:t>
            </w:r>
            <w:r>
              <w:rPr>
                <w:rFonts w:hint="eastAsia" w:cs="Palatino Linotype"/>
                <w:color w:val="000000"/>
                <w:sz w:val="18"/>
                <w:szCs w:val="18"/>
                <w:lang w:val="en-US" w:eastAsia="zh-CN"/>
              </w:rPr>
              <w:t>; Orange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  <w:jc w:val="center"/>
        </w:trPr>
        <w:tc>
          <w:tcPr>
            <w:tcW w:w="454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 xml:space="preserve">68.62 </w:t>
            </w:r>
          </w:p>
        </w:tc>
        <w:tc>
          <w:tcPr>
            <w:tcW w:w="460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1138</w:t>
            </w:r>
          </w:p>
        </w:tc>
        <w:tc>
          <w:tcPr>
            <w:tcW w:w="45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 xml:space="preserve">59.76 </w:t>
            </w:r>
          </w:p>
        </w:tc>
        <w:tc>
          <w:tcPr>
            <w:tcW w:w="458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1323</w:t>
            </w:r>
          </w:p>
        </w:tc>
        <w:tc>
          <w:tcPr>
            <w:tcW w:w="45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21195-59-5</w:t>
            </w:r>
          </w:p>
        </w:tc>
        <w:tc>
          <w:tcPr>
            <w:tcW w:w="51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C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  <w:vertAlign w:val="subscript"/>
              </w:rPr>
              <w:t>10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H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  <w:vertAlign w:val="subscript"/>
              </w:rPr>
              <w:t>14</w:t>
            </w:r>
          </w:p>
        </w:tc>
        <w:tc>
          <w:tcPr>
            <w:tcW w:w="99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1,3,8 para-Menthatriene</w:t>
            </w:r>
          </w:p>
        </w:tc>
        <w:tc>
          <w:tcPr>
            <w:tcW w:w="43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84.39</w:t>
            </w:r>
          </w:p>
        </w:tc>
        <w:tc>
          <w:tcPr>
            <w:tcW w:w="76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宋体" w:cs="Palatino Linotype"/>
                <w:color w:val="000000"/>
                <w:sz w:val="18"/>
                <w:szCs w:val="18"/>
                <w:lang w:val="en-US" w:eastAsia="zh-CN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Terpenoids</w:t>
            </w:r>
            <w:r>
              <w:rPr>
                <w:rFonts w:hint="eastAsia" w:cs="Palatino Linotype"/>
                <w:color w:val="000000"/>
                <w:sz w:val="18"/>
                <w:szCs w:val="18"/>
                <w:lang w:val="en-US" w:eastAsia="zh-CN"/>
              </w:rPr>
              <w:t>; Sulfurous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  <w:jc w:val="center"/>
        </w:trPr>
        <w:tc>
          <w:tcPr>
            <w:tcW w:w="454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 xml:space="preserve">69.40 </w:t>
            </w:r>
          </w:p>
        </w:tc>
        <w:tc>
          <w:tcPr>
            <w:tcW w:w="460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1152</w:t>
            </w:r>
          </w:p>
        </w:tc>
        <w:tc>
          <w:tcPr>
            <w:tcW w:w="45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 xml:space="preserve">59.76 </w:t>
            </w:r>
          </w:p>
        </w:tc>
        <w:tc>
          <w:tcPr>
            <w:tcW w:w="458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1323</w:t>
            </w:r>
          </w:p>
        </w:tc>
        <w:tc>
          <w:tcPr>
            <w:tcW w:w="45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76-22-2</w:t>
            </w:r>
          </w:p>
        </w:tc>
        <w:tc>
          <w:tcPr>
            <w:tcW w:w="51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C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  <w:vertAlign w:val="subscript"/>
              </w:rPr>
              <w:t>10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H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  <w:vertAlign w:val="subscript"/>
              </w:rPr>
              <w:t>16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O</w:t>
            </w:r>
          </w:p>
        </w:tc>
        <w:tc>
          <w:tcPr>
            <w:tcW w:w="99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eastAsia" w:cs="Palatino Linotype"/>
                <w:color w:val="000000"/>
                <w:sz w:val="18"/>
                <w:szCs w:val="18"/>
                <w:lang w:val="en-US" w:eastAsia="zh-CN"/>
              </w:rPr>
              <w:t>C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amphor</w:t>
            </w:r>
          </w:p>
        </w:tc>
        <w:tc>
          <w:tcPr>
            <w:tcW w:w="43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77.12</w:t>
            </w:r>
          </w:p>
        </w:tc>
        <w:tc>
          <w:tcPr>
            <w:tcW w:w="76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Camphor; Green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  <w:jc w:val="center"/>
        </w:trPr>
        <w:tc>
          <w:tcPr>
            <w:tcW w:w="454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 xml:space="preserve">70.90 </w:t>
            </w:r>
          </w:p>
        </w:tc>
        <w:tc>
          <w:tcPr>
            <w:tcW w:w="460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1178</w:t>
            </w:r>
          </w:p>
        </w:tc>
        <w:tc>
          <w:tcPr>
            <w:tcW w:w="45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 xml:space="preserve">60.98 </w:t>
            </w:r>
          </w:p>
        </w:tc>
        <w:tc>
          <w:tcPr>
            <w:tcW w:w="458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1348</w:t>
            </w:r>
          </w:p>
        </w:tc>
        <w:tc>
          <w:tcPr>
            <w:tcW w:w="45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1197-01-9</w:t>
            </w:r>
          </w:p>
        </w:tc>
        <w:tc>
          <w:tcPr>
            <w:tcW w:w="51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C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  <w:vertAlign w:val="subscript"/>
              </w:rPr>
              <w:t>10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H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  <w:vertAlign w:val="subscript"/>
              </w:rPr>
              <w:t>14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O</w:t>
            </w:r>
          </w:p>
        </w:tc>
        <w:tc>
          <w:tcPr>
            <w:tcW w:w="99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Cymen-8-ol</w:t>
            </w:r>
          </w:p>
        </w:tc>
        <w:tc>
          <w:tcPr>
            <w:tcW w:w="43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85.77</w:t>
            </w:r>
          </w:p>
        </w:tc>
        <w:tc>
          <w:tcPr>
            <w:tcW w:w="76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Fruity; Coumarin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  <w:jc w:val="center"/>
        </w:trPr>
        <w:tc>
          <w:tcPr>
            <w:tcW w:w="454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 xml:space="preserve">71.78 </w:t>
            </w:r>
          </w:p>
        </w:tc>
        <w:tc>
          <w:tcPr>
            <w:tcW w:w="460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1194</w:t>
            </w:r>
          </w:p>
        </w:tc>
        <w:tc>
          <w:tcPr>
            <w:tcW w:w="45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 xml:space="preserve">61.92 </w:t>
            </w:r>
          </w:p>
        </w:tc>
        <w:tc>
          <w:tcPr>
            <w:tcW w:w="458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1368</w:t>
            </w:r>
          </w:p>
        </w:tc>
        <w:tc>
          <w:tcPr>
            <w:tcW w:w="45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33512</w:t>
            </w:r>
          </w:p>
        </w:tc>
        <w:tc>
          <w:tcPr>
            <w:tcW w:w="51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C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  <w:vertAlign w:val="subscript"/>
              </w:rPr>
              <w:t>8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H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  <w:vertAlign w:val="subscript"/>
              </w:rPr>
              <w:t>10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O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  <w:vertAlign w:val="subscript"/>
              </w:rPr>
              <w:t>3</w:t>
            </w:r>
          </w:p>
        </w:tc>
        <w:tc>
          <w:tcPr>
            <w:tcW w:w="99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2,6-dimethoxy-phenol</w:t>
            </w:r>
          </w:p>
        </w:tc>
        <w:tc>
          <w:tcPr>
            <w:tcW w:w="43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eastAsia" w:ascii="Palatino Linotype" w:hAnsi="Palatino Linotype" w:eastAsia="宋体" w:cs="Palatino Linotype"/>
                <w:color w:val="000000"/>
                <w:sz w:val="18"/>
                <w:szCs w:val="18"/>
                <w:lang w:val="en-US" w:eastAsia="zh-CN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97.7</w:t>
            </w:r>
            <w:r>
              <w:rPr>
                <w:rFonts w:hint="eastAsia" w:cs="Palatino Linotype"/>
                <w:color w:val="000000"/>
                <w:sz w:val="18"/>
                <w:szCs w:val="18"/>
                <w:lang w:val="en-US" w:eastAsia="zh-CN"/>
              </w:rPr>
              <w:t>0</w:t>
            </w:r>
          </w:p>
        </w:tc>
        <w:tc>
          <w:tcPr>
            <w:tcW w:w="76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Wooden; Smoke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  <w:jc w:val="center"/>
        </w:trPr>
        <w:tc>
          <w:tcPr>
            <w:tcW w:w="454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 xml:space="preserve">74.24 </w:t>
            </w:r>
          </w:p>
        </w:tc>
        <w:tc>
          <w:tcPr>
            <w:tcW w:w="460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1241</w:t>
            </w:r>
          </w:p>
        </w:tc>
        <w:tc>
          <w:tcPr>
            <w:tcW w:w="45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 xml:space="preserve">61.92 </w:t>
            </w:r>
          </w:p>
        </w:tc>
        <w:tc>
          <w:tcPr>
            <w:tcW w:w="458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1368</w:t>
            </w:r>
          </w:p>
        </w:tc>
        <w:tc>
          <w:tcPr>
            <w:tcW w:w="45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1197-07-5</w:t>
            </w:r>
          </w:p>
        </w:tc>
        <w:tc>
          <w:tcPr>
            <w:tcW w:w="51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C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  <w:vertAlign w:val="subscript"/>
              </w:rPr>
              <w:t>10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H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  <w:vertAlign w:val="subscript"/>
              </w:rPr>
              <w:t>16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O</w:t>
            </w:r>
          </w:p>
        </w:tc>
        <w:tc>
          <w:tcPr>
            <w:tcW w:w="99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trans-Carveol</w:t>
            </w:r>
          </w:p>
        </w:tc>
        <w:tc>
          <w:tcPr>
            <w:tcW w:w="43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93.64</w:t>
            </w:r>
          </w:p>
        </w:tc>
        <w:tc>
          <w:tcPr>
            <w:tcW w:w="76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Coriander; Green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  <w:jc w:val="center"/>
        </w:trPr>
        <w:tc>
          <w:tcPr>
            <w:tcW w:w="454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 xml:space="preserve">80.46 </w:t>
            </w:r>
          </w:p>
        </w:tc>
        <w:tc>
          <w:tcPr>
            <w:tcW w:w="460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1370</w:t>
            </w:r>
          </w:p>
        </w:tc>
        <w:tc>
          <w:tcPr>
            <w:tcW w:w="45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 xml:space="preserve">65.10 </w:t>
            </w:r>
          </w:p>
        </w:tc>
        <w:tc>
          <w:tcPr>
            <w:tcW w:w="458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1438</w:t>
            </w:r>
          </w:p>
        </w:tc>
        <w:tc>
          <w:tcPr>
            <w:tcW w:w="45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31501-11-8</w:t>
            </w:r>
          </w:p>
        </w:tc>
        <w:tc>
          <w:tcPr>
            <w:tcW w:w="51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C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  <w:vertAlign w:val="subscript"/>
              </w:rPr>
              <w:t>12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H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  <w:vertAlign w:val="subscript"/>
              </w:rPr>
              <w:t>22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O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  <w:vertAlign w:val="subscript"/>
              </w:rPr>
              <w:t>2</w:t>
            </w:r>
          </w:p>
        </w:tc>
        <w:tc>
          <w:tcPr>
            <w:tcW w:w="99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(Z)-3-Hexenyl hexanoate</w:t>
            </w:r>
          </w:p>
        </w:tc>
        <w:tc>
          <w:tcPr>
            <w:tcW w:w="43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91.47</w:t>
            </w:r>
          </w:p>
        </w:tc>
        <w:tc>
          <w:tcPr>
            <w:tcW w:w="76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Fruity; Green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  <w:jc w:val="center"/>
        </w:trPr>
        <w:tc>
          <w:tcPr>
            <w:tcW w:w="454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 xml:space="preserve">82.50 </w:t>
            </w:r>
          </w:p>
        </w:tc>
        <w:tc>
          <w:tcPr>
            <w:tcW w:w="460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1415</w:t>
            </w:r>
          </w:p>
        </w:tc>
        <w:tc>
          <w:tcPr>
            <w:tcW w:w="45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 xml:space="preserve">65.10 </w:t>
            </w:r>
          </w:p>
        </w:tc>
        <w:tc>
          <w:tcPr>
            <w:tcW w:w="458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1438</w:t>
            </w:r>
          </w:p>
        </w:tc>
        <w:tc>
          <w:tcPr>
            <w:tcW w:w="45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6378-65-0</w:t>
            </w:r>
          </w:p>
        </w:tc>
        <w:tc>
          <w:tcPr>
            <w:tcW w:w="51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C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  <w:vertAlign w:val="subscript"/>
              </w:rPr>
              <w:t>12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H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  <w:vertAlign w:val="subscript"/>
              </w:rPr>
              <w:t>24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O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  <w:vertAlign w:val="subscript"/>
              </w:rPr>
              <w:t>2</w:t>
            </w:r>
          </w:p>
        </w:tc>
        <w:tc>
          <w:tcPr>
            <w:tcW w:w="99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N-hexyl-hexanoate</w:t>
            </w:r>
          </w:p>
        </w:tc>
        <w:tc>
          <w:tcPr>
            <w:tcW w:w="43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91.74</w:t>
            </w:r>
          </w:p>
        </w:tc>
        <w:tc>
          <w:tcPr>
            <w:tcW w:w="76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Fruity; Apple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  <w:jc w:val="center"/>
        </w:trPr>
        <w:tc>
          <w:tcPr>
            <w:tcW w:w="454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 xml:space="preserve">83.56 </w:t>
            </w:r>
          </w:p>
        </w:tc>
        <w:tc>
          <w:tcPr>
            <w:tcW w:w="460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1440</w:t>
            </w:r>
          </w:p>
        </w:tc>
        <w:tc>
          <w:tcPr>
            <w:tcW w:w="45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 xml:space="preserve">75.96 </w:t>
            </w:r>
          </w:p>
        </w:tc>
        <w:tc>
          <w:tcPr>
            <w:tcW w:w="458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1683</w:t>
            </w:r>
          </w:p>
        </w:tc>
        <w:tc>
          <w:tcPr>
            <w:tcW w:w="45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140-10-3</w:t>
            </w:r>
          </w:p>
        </w:tc>
        <w:tc>
          <w:tcPr>
            <w:tcW w:w="51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C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  <w:vertAlign w:val="subscript"/>
              </w:rPr>
              <w:t>9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H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  <w:vertAlign w:val="subscript"/>
              </w:rPr>
              <w:t>8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O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  <w:vertAlign w:val="subscript"/>
              </w:rPr>
              <w:t>2</w:t>
            </w:r>
          </w:p>
        </w:tc>
        <w:tc>
          <w:tcPr>
            <w:tcW w:w="99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(E)-Cinnamic acid</w:t>
            </w:r>
          </w:p>
        </w:tc>
        <w:tc>
          <w:tcPr>
            <w:tcW w:w="43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宋体" w:cs="Palatino Linotype"/>
                <w:color w:val="000000"/>
                <w:sz w:val="18"/>
                <w:szCs w:val="18"/>
                <w:lang w:val="en-US" w:eastAsia="zh-CN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88</w:t>
            </w:r>
            <w:r>
              <w:rPr>
                <w:rFonts w:hint="eastAsia" w:cs="Palatino Linotype"/>
                <w:color w:val="000000"/>
                <w:sz w:val="18"/>
                <w:szCs w:val="18"/>
                <w:lang w:val="en-US" w:eastAsia="zh-CN"/>
              </w:rPr>
              <w:t>.00</w:t>
            </w:r>
          </w:p>
        </w:tc>
        <w:tc>
          <w:tcPr>
            <w:tcW w:w="76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 xml:space="preserve">Sweety; Vegetable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  <w:jc w:val="center"/>
        </w:trPr>
        <w:tc>
          <w:tcPr>
            <w:tcW w:w="454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 xml:space="preserve">84.71 </w:t>
            </w:r>
          </w:p>
        </w:tc>
        <w:tc>
          <w:tcPr>
            <w:tcW w:w="460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1468</w:t>
            </w:r>
          </w:p>
        </w:tc>
        <w:tc>
          <w:tcPr>
            <w:tcW w:w="45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 xml:space="preserve">69.05 </w:t>
            </w:r>
          </w:p>
        </w:tc>
        <w:tc>
          <w:tcPr>
            <w:tcW w:w="458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1528</w:t>
            </w:r>
          </w:p>
        </w:tc>
        <w:tc>
          <w:tcPr>
            <w:tcW w:w="45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19700-21-1</w:t>
            </w:r>
          </w:p>
        </w:tc>
        <w:tc>
          <w:tcPr>
            <w:tcW w:w="51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C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  <w:vertAlign w:val="subscript"/>
              </w:rPr>
              <w:t>12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H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  <w:vertAlign w:val="subscript"/>
              </w:rPr>
              <w:t>22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O</w:t>
            </w:r>
          </w:p>
        </w:tc>
        <w:tc>
          <w:tcPr>
            <w:tcW w:w="99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Geosmin</w:t>
            </w:r>
          </w:p>
        </w:tc>
        <w:tc>
          <w:tcPr>
            <w:tcW w:w="43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86.13</w:t>
            </w:r>
          </w:p>
        </w:tc>
        <w:tc>
          <w:tcPr>
            <w:tcW w:w="76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Beet; Soil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  <w:jc w:val="center"/>
        </w:trPr>
        <w:tc>
          <w:tcPr>
            <w:tcW w:w="454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 xml:space="preserve">85.68 </w:t>
            </w:r>
          </w:p>
        </w:tc>
        <w:tc>
          <w:tcPr>
            <w:tcW w:w="460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1489</w:t>
            </w:r>
          </w:p>
        </w:tc>
        <w:tc>
          <w:tcPr>
            <w:tcW w:w="45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 xml:space="preserve">68.68 </w:t>
            </w:r>
          </w:p>
        </w:tc>
        <w:tc>
          <w:tcPr>
            <w:tcW w:w="458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1519</w:t>
            </w:r>
          </w:p>
        </w:tc>
        <w:tc>
          <w:tcPr>
            <w:tcW w:w="45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87-44-5</w:t>
            </w:r>
          </w:p>
        </w:tc>
        <w:tc>
          <w:tcPr>
            <w:tcW w:w="51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C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  <w:vertAlign w:val="subscript"/>
              </w:rPr>
              <w:t>17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H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  <w:vertAlign w:val="subscript"/>
              </w:rPr>
              <w:t>28</w:t>
            </w:r>
          </w:p>
        </w:tc>
        <w:tc>
          <w:tcPr>
            <w:tcW w:w="99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i/>
                <w:iCs/>
                <w:color w:val="000000"/>
                <w:sz w:val="18"/>
                <w:szCs w:val="18"/>
              </w:rPr>
              <w:t>β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-Caryophyllene</w:t>
            </w:r>
          </w:p>
        </w:tc>
        <w:tc>
          <w:tcPr>
            <w:tcW w:w="43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92.74</w:t>
            </w:r>
          </w:p>
        </w:tc>
        <w:tc>
          <w:tcPr>
            <w:tcW w:w="76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Fruity; Green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  <w:jc w:val="center"/>
        </w:trPr>
        <w:tc>
          <w:tcPr>
            <w:tcW w:w="454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 xml:space="preserve">86.30 </w:t>
            </w:r>
          </w:p>
        </w:tc>
        <w:tc>
          <w:tcPr>
            <w:tcW w:w="460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1504</w:t>
            </w:r>
          </w:p>
        </w:tc>
        <w:tc>
          <w:tcPr>
            <w:tcW w:w="45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 xml:space="preserve">68.68 </w:t>
            </w:r>
          </w:p>
        </w:tc>
        <w:tc>
          <w:tcPr>
            <w:tcW w:w="458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1519</w:t>
            </w:r>
          </w:p>
        </w:tc>
        <w:tc>
          <w:tcPr>
            <w:tcW w:w="45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473-13-2</w:t>
            </w:r>
          </w:p>
        </w:tc>
        <w:tc>
          <w:tcPr>
            <w:tcW w:w="51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C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  <w:vertAlign w:val="subscript"/>
              </w:rPr>
              <w:t>15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H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  <w:vertAlign w:val="subscript"/>
              </w:rPr>
              <w:t>24</w:t>
            </w:r>
          </w:p>
        </w:tc>
        <w:tc>
          <w:tcPr>
            <w:tcW w:w="99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i/>
                <w:iCs/>
                <w:color w:val="000000"/>
                <w:sz w:val="18"/>
                <w:szCs w:val="18"/>
              </w:rPr>
              <w:t>a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-Selinene</w:t>
            </w:r>
          </w:p>
        </w:tc>
        <w:tc>
          <w:tcPr>
            <w:tcW w:w="43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91.27</w:t>
            </w:r>
          </w:p>
        </w:tc>
        <w:tc>
          <w:tcPr>
            <w:tcW w:w="76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Amber; Orange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  <w:jc w:val="center"/>
        </w:trPr>
        <w:tc>
          <w:tcPr>
            <w:tcW w:w="454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 xml:space="preserve">86.82 </w:t>
            </w:r>
          </w:p>
        </w:tc>
        <w:tc>
          <w:tcPr>
            <w:tcW w:w="460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1517</w:t>
            </w:r>
          </w:p>
        </w:tc>
        <w:tc>
          <w:tcPr>
            <w:tcW w:w="45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 xml:space="preserve">72.92 </w:t>
            </w:r>
          </w:p>
        </w:tc>
        <w:tc>
          <w:tcPr>
            <w:tcW w:w="458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1614</w:t>
            </w:r>
          </w:p>
        </w:tc>
        <w:tc>
          <w:tcPr>
            <w:tcW w:w="45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111-82-0</w:t>
            </w:r>
          </w:p>
        </w:tc>
        <w:tc>
          <w:tcPr>
            <w:tcW w:w="51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C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  <w:vertAlign w:val="subscript"/>
              </w:rPr>
              <w:t>13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H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  <w:vertAlign w:val="subscript"/>
              </w:rPr>
              <w:t>26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O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  <w:vertAlign w:val="subscript"/>
              </w:rPr>
              <w:t>2</w:t>
            </w:r>
          </w:p>
        </w:tc>
        <w:tc>
          <w:tcPr>
            <w:tcW w:w="99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Methyl dodecanoate</w:t>
            </w:r>
          </w:p>
        </w:tc>
        <w:tc>
          <w:tcPr>
            <w:tcW w:w="43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96.13</w:t>
            </w:r>
          </w:p>
        </w:tc>
        <w:tc>
          <w:tcPr>
            <w:tcW w:w="76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Fruity; Fatty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  <w:jc w:val="center"/>
        </w:trPr>
        <w:tc>
          <w:tcPr>
            <w:tcW w:w="454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 xml:space="preserve">87.38 </w:t>
            </w:r>
          </w:p>
        </w:tc>
        <w:tc>
          <w:tcPr>
            <w:tcW w:w="460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1531</w:t>
            </w:r>
          </w:p>
        </w:tc>
        <w:tc>
          <w:tcPr>
            <w:tcW w:w="45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 xml:space="preserve">68.68 </w:t>
            </w:r>
          </w:p>
        </w:tc>
        <w:tc>
          <w:tcPr>
            <w:tcW w:w="458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1519</w:t>
            </w:r>
          </w:p>
        </w:tc>
        <w:tc>
          <w:tcPr>
            <w:tcW w:w="45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22306-28-1</w:t>
            </w:r>
          </w:p>
        </w:tc>
        <w:tc>
          <w:tcPr>
            <w:tcW w:w="51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C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  <w:vertAlign w:val="subscript"/>
              </w:rPr>
              <w:t>16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H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  <w:vertAlign w:val="subscript"/>
              </w:rPr>
              <w:t>34</w:t>
            </w:r>
          </w:p>
        </w:tc>
        <w:tc>
          <w:tcPr>
            <w:tcW w:w="99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8-methyl pentadecane</w:t>
            </w:r>
          </w:p>
        </w:tc>
        <w:tc>
          <w:tcPr>
            <w:tcW w:w="43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94.28</w:t>
            </w:r>
          </w:p>
        </w:tc>
        <w:tc>
          <w:tcPr>
            <w:tcW w:w="76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-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  <w:jc w:val="center"/>
        </w:trPr>
        <w:tc>
          <w:tcPr>
            <w:tcW w:w="454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 xml:space="preserve">87.84 </w:t>
            </w:r>
          </w:p>
        </w:tc>
        <w:tc>
          <w:tcPr>
            <w:tcW w:w="460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1543</w:t>
            </w:r>
          </w:p>
        </w:tc>
        <w:tc>
          <w:tcPr>
            <w:tcW w:w="45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 xml:space="preserve">66.66 </w:t>
            </w:r>
          </w:p>
        </w:tc>
        <w:tc>
          <w:tcPr>
            <w:tcW w:w="458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1473</w:t>
            </w:r>
          </w:p>
        </w:tc>
        <w:tc>
          <w:tcPr>
            <w:tcW w:w="45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5471-51-2</w:t>
            </w:r>
          </w:p>
        </w:tc>
        <w:tc>
          <w:tcPr>
            <w:tcW w:w="51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C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  <w:vertAlign w:val="subscript"/>
              </w:rPr>
              <w:t>10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H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  <w:vertAlign w:val="subscript"/>
              </w:rPr>
              <w:t>12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O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  <w:vertAlign w:val="subscript"/>
              </w:rPr>
              <w:t>2</w:t>
            </w:r>
          </w:p>
        </w:tc>
        <w:tc>
          <w:tcPr>
            <w:tcW w:w="99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Rheosmin</w:t>
            </w:r>
          </w:p>
        </w:tc>
        <w:tc>
          <w:tcPr>
            <w:tcW w:w="43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97.55</w:t>
            </w:r>
          </w:p>
        </w:tc>
        <w:tc>
          <w:tcPr>
            <w:tcW w:w="76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-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  <w:jc w:val="center"/>
        </w:trPr>
        <w:tc>
          <w:tcPr>
            <w:tcW w:w="454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 xml:space="preserve">88.52 </w:t>
            </w:r>
          </w:p>
        </w:tc>
        <w:tc>
          <w:tcPr>
            <w:tcW w:w="460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1560</w:t>
            </w:r>
          </w:p>
        </w:tc>
        <w:tc>
          <w:tcPr>
            <w:tcW w:w="45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 xml:space="preserve">77.70 </w:t>
            </w:r>
          </w:p>
        </w:tc>
        <w:tc>
          <w:tcPr>
            <w:tcW w:w="458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1722</w:t>
            </w:r>
          </w:p>
        </w:tc>
        <w:tc>
          <w:tcPr>
            <w:tcW w:w="45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112-70-9</w:t>
            </w:r>
          </w:p>
        </w:tc>
        <w:tc>
          <w:tcPr>
            <w:tcW w:w="51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C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  <w:vertAlign w:val="subscript"/>
              </w:rPr>
              <w:t>13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H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  <w:vertAlign w:val="subscript"/>
              </w:rPr>
              <w:t>28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O</w:t>
            </w:r>
          </w:p>
        </w:tc>
        <w:tc>
          <w:tcPr>
            <w:tcW w:w="99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1-Tridecanol</w:t>
            </w:r>
          </w:p>
        </w:tc>
        <w:tc>
          <w:tcPr>
            <w:tcW w:w="43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87.18</w:t>
            </w:r>
          </w:p>
        </w:tc>
        <w:tc>
          <w:tcPr>
            <w:tcW w:w="76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-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  <w:jc w:val="center"/>
        </w:trPr>
        <w:tc>
          <w:tcPr>
            <w:tcW w:w="454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 xml:space="preserve">91.54 </w:t>
            </w:r>
          </w:p>
        </w:tc>
        <w:tc>
          <w:tcPr>
            <w:tcW w:w="460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1636</w:t>
            </w:r>
          </w:p>
        </w:tc>
        <w:tc>
          <w:tcPr>
            <w:tcW w:w="45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 xml:space="preserve">77.70 </w:t>
            </w:r>
          </w:p>
        </w:tc>
        <w:tc>
          <w:tcPr>
            <w:tcW w:w="458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1722</w:t>
            </w:r>
          </w:p>
        </w:tc>
        <w:tc>
          <w:tcPr>
            <w:tcW w:w="45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124-25-4</w:t>
            </w:r>
          </w:p>
        </w:tc>
        <w:tc>
          <w:tcPr>
            <w:tcW w:w="51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C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  <w:vertAlign w:val="subscript"/>
              </w:rPr>
              <w:t>14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H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  <w:vertAlign w:val="subscript"/>
              </w:rPr>
              <w:t>28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O</w:t>
            </w:r>
          </w:p>
        </w:tc>
        <w:tc>
          <w:tcPr>
            <w:tcW w:w="99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Tetradecanal</w:t>
            </w:r>
          </w:p>
        </w:tc>
        <w:tc>
          <w:tcPr>
            <w:tcW w:w="43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95.62</w:t>
            </w:r>
          </w:p>
        </w:tc>
        <w:tc>
          <w:tcPr>
            <w:tcW w:w="76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Amber; Orange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  <w:jc w:val="center"/>
        </w:trPr>
        <w:tc>
          <w:tcPr>
            <w:tcW w:w="454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 xml:space="preserve">94.36 </w:t>
            </w:r>
          </w:p>
        </w:tc>
        <w:tc>
          <w:tcPr>
            <w:tcW w:w="460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1707</w:t>
            </w:r>
          </w:p>
        </w:tc>
        <w:tc>
          <w:tcPr>
            <w:tcW w:w="45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 xml:space="preserve">80.08 </w:t>
            </w:r>
          </w:p>
        </w:tc>
        <w:tc>
          <w:tcPr>
            <w:tcW w:w="458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1775</w:t>
            </w:r>
          </w:p>
        </w:tc>
        <w:tc>
          <w:tcPr>
            <w:tcW w:w="45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2345-28-0</w:t>
            </w:r>
          </w:p>
        </w:tc>
        <w:tc>
          <w:tcPr>
            <w:tcW w:w="51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C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  <w:vertAlign w:val="subscript"/>
              </w:rPr>
              <w:t>15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H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  <w:vertAlign w:val="subscript"/>
              </w:rPr>
              <w:t>30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O</w:t>
            </w:r>
          </w:p>
        </w:tc>
        <w:tc>
          <w:tcPr>
            <w:tcW w:w="99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2-Pentadecanone</w:t>
            </w:r>
          </w:p>
        </w:tc>
        <w:tc>
          <w:tcPr>
            <w:tcW w:w="43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96.45</w:t>
            </w:r>
          </w:p>
        </w:tc>
        <w:tc>
          <w:tcPr>
            <w:tcW w:w="76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Spicy; Vegetable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  <w:jc w:val="center"/>
        </w:trPr>
        <w:tc>
          <w:tcPr>
            <w:tcW w:w="454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 xml:space="preserve">95.80 </w:t>
            </w:r>
          </w:p>
        </w:tc>
        <w:tc>
          <w:tcPr>
            <w:tcW w:w="460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1743</w:t>
            </w:r>
          </w:p>
        </w:tc>
        <w:tc>
          <w:tcPr>
            <w:tcW w:w="45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 xml:space="preserve">81.08 </w:t>
            </w:r>
          </w:p>
        </w:tc>
        <w:tc>
          <w:tcPr>
            <w:tcW w:w="458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1797</w:t>
            </w:r>
          </w:p>
        </w:tc>
        <w:tc>
          <w:tcPr>
            <w:tcW w:w="45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124-10-7</w:t>
            </w:r>
          </w:p>
        </w:tc>
        <w:tc>
          <w:tcPr>
            <w:tcW w:w="51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C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  <w:vertAlign w:val="subscript"/>
              </w:rPr>
              <w:t>15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H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  <w:vertAlign w:val="subscript"/>
              </w:rPr>
              <w:t>30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O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  <w:vertAlign w:val="subscript"/>
              </w:rPr>
              <w:t>2</w:t>
            </w:r>
          </w:p>
        </w:tc>
        <w:tc>
          <w:tcPr>
            <w:tcW w:w="99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eastAsia" w:cs="Palatino Linotype"/>
                <w:color w:val="000000"/>
                <w:sz w:val="18"/>
                <w:szCs w:val="18"/>
                <w:lang w:val="en-US" w:eastAsia="zh-CN"/>
              </w:rPr>
              <w:t>M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ethyl tetradecanoate</w:t>
            </w:r>
          </w:p>
        </w:tc>
        <w:tc>
          <w:tcPr>
            <w:tcW w:w="43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83.77</w:t>
            </w:r>
          </w:p>
        </w:tc>
        <w:tc>
          <w:tcPr>
            <w:tcW w:w="76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eastAsia" w:ascii="Palatino Linotype" w:hAnsi="Palatino Linotype" w:eastAsia="宋体" w:cs="Palatino Linotype"/>
                <w:color w:val="000000"/>
                <w:sz w:val="18"/>
                <w:szCs w:val="18"/>
                <w:lang w:val="en-US" w:eastAsia="zh-CN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Coconut;</w:t>
            </w:r>
            <w:r>
              <w:rPr>
                <w:rFonts w:hint="eastAsia" w:cs="Palatino Linotype"/>
                <w:color w:val="000000"/>
                <w:sz w:val="18"/>
                <w:szCs w:val="18"/>
                <w:lang w:val="en-US" w:eastAsia="zh-CN"/>
              </w:rPr>
              <w:t xml:space="preserve"> Fatty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  <w:jc w:val="center"/>
        </w:trPr>
        <w:tc>
          <w:tcPr>
            <w:tcW w:w="454" w:type="pct"/>
            <w:tcBorders>
              <w:top w:val="nil"/>
              <w:left w:val="nil"/>
              <w:bottom w:val="single" w:color="auto" w:sz="12" w:space="0"/>
              <w:right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 xml:space="preserve">98.78 </w:t>
            </w:r>
          </w:p>
        </w:tc>
        <w:tc>
          <w:tcPr>
            <w:tcW w:w="460" w:type="pct"/>
            <w:tcBorders>
              <w:top w:val="nil"/>
              <w:left w:val="nil"/>
              <w:bottom w:val="single" w:color="auto" w:sz="12" w:space="0"/>
              <w:right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1818</w:t>
            </w:r>
          </w:p>
        </w:tc>
        <w:tc>
          <w:tcPr>
            <w:tcW w:w="457" w:type="pct"/>
            <w:tcBorders>
              <w:top w:val="nil"/>
              <w:left w:val="nil"/>
              <w:bottom w:val="single" w:color="auto" w:sz="12" w:space="0"/>
              <w:right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 xml:space="preserve">84.32 </w:t>
            </w:r>
          </w:p>
        </w:tc>
        <w:tc>
          <w:tcPr>
            <w:tcW w:w="458" w:type="pct"/>
            <w:tcBorders>
              <w:top w:val="nil"/>
              <w:left w:val="nil"/>
              <w:bottom w:val="single" w:color="auto" w:sz="12" w:space="0"/>
              <w:right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1870</w:t>
            </w:r>
          </w:p>
        </w:tc>
        <w:tc>
          <w:tcPr>
            <w:tcW w:w="457" w:type="pct"/>
            <w:tcBorders>
              <w:top w:val="nil"/>
              <w:left w:val="nil"/>
              <w:bottom w:val="single" w:color="auto" w:sz="12" w:space="0"/>
              <w:right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638-59-5</w:t>
            </w:r>
          </w:p>
        </w:tc>
        <w:tc>
          <w:tcPr>
            <w:tcW w:w="512" w:type="pct"/>
            <w:tcBorders>
              <w:top w:val="nil"/>
              <w:left w:val="nil"/>
              <w:bottom w:val="single" w:color="auto" w:sz="12" w:space="0"/>
              <w:right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C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  <w:vertAlign w:val="subscript"/>
              </w:rPr>
              <w:t>16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H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  <w:vertAlign w:val="subscript"/>
              </w:rPr>
              <w:t>32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O</w:t>
            </w: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  <w:vertAlign w:val="subscript"/>
              </w:rPr>
              <w:t>2</w:t>
            </w:r>
          </w:p>
        </w:tc>
        <w:tc>
          <w:tcPr>
            <w:tcW w:w="997" w:type="pct"/>
            <w:tcBorders>
              <w:top w:val="nil"/>
              <w:left w:val="nil"/>
              <w:bottom w:val="single" w:color="auto" w:sz="12" w:space="0"/>
              <w:right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Tetradecyl acetate</w:t>
            </w:r>
          </w:p>
        </w:tc>
        <w:tc>
          <w:tcPr>
            <w:tcW w:w="435" w:type="pct"/>
            <w:tcBorders>
              <w:top w:val="nil"/>
              <w:left w:val="nil"/>
              <w:bottom w:val="single" w:color="auto" w:sz="12" w:space="0"/>
              <w:right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91.46</w:t>
            </w:r>
          </w:p>
        </w:tc>
        <w:tc>
          <w:tcPr>
            <w:tcW w:w="765" w:type="pct"/>
            <w:tcBorders>
              <w:top w:val="nil"/>
              <w:left w:val="nil"/>
              <w:bottom w:val="single" w:color="auto" w:sz="12" w:space="0"/>
              <w:right w:val="nil"/>
            </w:tcBorders>
            <w:noWrap w:val="0"/>
            <w:vAlign w:val="top"/>
          </w:tcPr>
          <w:p>
            <w:pPr>
              <w:spacing w:beforeLines="0" w:afterLines="0"/>
              <w:jc w:val="center"/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</w:pPr>
            <w:r>
              <w:rPr>
                <w:rFonts w:hint="default" w:ascii="Palatino Linotype" w:hAnsi="Palatino Linotype" w:eastAsia="Times New Roman" w:cs="Palatino Linotype"/>
                <w:color w:val="000000"/>
                <w:sz w:val="18"/>
                <w:szCs w:val="18"/>
              </w:rPr>
              <w:t>Fatty; Waxy</w:t>
            </w:r>
          </w:p>
        </w:tc>
      </w:tr>
    </w:tbl>
    <w:p>
      <w:pPr>
        <w:pStyle w:val="33"/>
        <w:ind w:left="0" w:leftChars="0" w:firstLine="0" w:firstLineChars="0"/>
        <w:rPr>
          <w:rFonts w:hint="eastAsia"/>
          <w:sz w:val="18"/>
          <w:szCs w:val="18"/>
        </w:rPr>
      </w:pPr>
      <w:r>
        <w:rPr>
          <w:rFonts w:hint="eastAsia"/>
          <w:sz w:val="18"/>
          <w:szCs w:val="18"/>
          <w:vertAlign w:val="superscript"/>
        </w:rPr>
        <w:t>1</w:t>
      </w:r>
      <w:r>
        <w:rPr>
          <w:rFonts w:hint="eastAsia"/>
          <w:sz w:val="18"/>
          <w:szCs w:val="18"/>
        </w:rPr>
        <w:t xml:space="preserve"> R</w:t>
      </w:r>
      <w:r>
        <w:rPr>
          <w:rFonts w:hint="eastAsia" w:eastAsia="宋体"/>
          <w:sz w:val="18"/>
          <w:szCs w:val="18"/>
          <w:lang w:val="en-US" w:eastAsia="zh-CN"/>
        </w:rPr>
        <w:t>T</w:t>
      </w:r>
      <w:r>
        <w:rPr>
          <w:rFonts w:hint="eastAsia"/>
          <w:sz w:val="18"/>
          <w:szCs w:val="18"/>
        </w:rPr>
        <w:t>, MXT-5 and R</w:t>
      </w:r>
      <w:r>
        <w:rPr>
          <w:rFonts w:hint="eastAsia" w:eastAsia="宋体"/>
          <w:sz w:val="18"/>
          <w:szCs w:val="18"/>
          <w:lang w:val="en-US" w:eastAsia="zh-CN"/>
        </w:rPr>
        <w:t>T</w:t>
      </w:r>
      <w:r>
        <w:rPr>
          <w:rFonts w:hint="eastAsia"/>
          <w:sz w:val="18"/>
          <w:szCs w:val="18"/>
        </w:rPr>
        <w:t xml:space="preserve">, MXT-1701: Retention </w:t>
      </w:r>
      <w:r>
        <w:rPr>
          <w:rFonts w:hint="eastAsia" w:eastAsia="宋体"/>
          <w:sz w:val="18"/>
          <w:szCs w:val="18"/>
          <w:lang w:val="en-US" w:eastAsia="zh-CN"/>
        </w:rPr>
        <w:t>time</w:t>
      </w:r>
      <w:r>
        <w:rPr>
          <w:rFonts w:hint="eastAsia"/>
          <w:sz w:val="18"/>
          <w:szCs w:val="18"/>
        </w:rPr>
        <w:t xml:space="preserve"> measured in column MXT-5 or MXT-1701; RI, MXT-5 and RI, MXT-1701:</w:t>
      </w:r>
      <w:r>
        <w:rPr>
          <w:rFonts w:hint="eastAsia" w:eastAsia="宋体"/>
          <w:sz w:val="18"/>
          <w:szCs w:val="18"/>
          <w:lang w:val="en-US" w:eastAsia="zh-CN"/>
        </w:rPr>
        <w:t xml:space="preserve"> </w:t>
      </w:r>
      <w:r>
        <w:rPr>
          <w:rFonts w:hint="eastAsia"/>
          <w:sz w:val="18"/>
          <w:szCs w:val="18"/>
        </w:rPr>
        <w:t xml:space="preserve">Retention </w:t>
      </w:r>
      <w:r>
        <w:rPr>
          <w:rFonts w:hint="eastAsia" w:eastAsia="宋体"/>
          <w:sz w:val="18"/>
          <w:szCs w:val="18"/>
          <w:lang w:val="en-US" w:eastAsia="zh-CN"/>
        </w:rPr>
        <w:t>index</w:t>
      </w:r>
      <w:r>
        <w:rPr>
          <w:rFonts w:hint="eastAsia"/>
          <w:sz w:val="18"/>
          <w:szCs w:val="18"/>
        </w:rPr>
        <w:t xml:space="preserve"> measured by n-alkanes</w:t>
      </w:r>
      <w:r>
        <w:rPr>
          <w:rFonts w:hint="eastAsia" w:eastAsia="宋体"/>
          <w:sz w:val="18"/>
          <w:szCs w:val="18"/>
          <w:lang w:val="en-US" w:eastAsia="zh-CN"/>
        </w:rPr>
        <w:t xml:space="preserve"> </w:t>
      </w:r>
      <w:r>
        <w:rPr>
          <w:rFonts w:hint="eastAsia"/>
          <w:sz w:val="18"/>
          <w:szCs w:val="18"/>
        </w:rPr>
        <w:t>in column MXT-5 or MXT-1701</w:t>
      </w:r>
      <w:r>
        <w:rPr>
          <w:rFonts w:hint="eastAsia" w:eastAsia="宋体"/>
          <w:sz w:val="18"/>
          <w:szCs w:val="18"/>
          <w:lang w:val="en-US" w:eastAsia="zh-CN"/>
        </w:rPr>
        <w:t>;</w:t>
      </w:r>
      <w:r>
        <w:rPr>
          <w:rFonts w:hint="eastAsia"/>
          <w:sz w:val="18"/>
          <w:szCs w:val="18"/>
        </w:rPr>
        <w:t>CAS: Chemical Abstracts Service registry number.</w:t>
      </w:r>
    </w:p>
    <w:p>
      <w:pPr>
        <w:pStyle w:val="33"/>
        <w:ind w:left="0" w:leftChars="0" w:firstLine="0" w:firstLineChars="0"/>
        <w:rPr>
          <w:rFonts w:hint="eastAsia"/>
          <w:sz w:val="18"/>
          <w:szCs w:val="18"/>
        </w:rPr>
      </w:pPr>
    </w:p>
    <w:p>
      <w:pPr>
        <w:pStyle w:val="33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ind w:left="0" w:leftChars="0" w:firstLine="0" w:firstLineChars="0"/>
        <w:jc w:val="center"/>
        <w:textAlignment w:val="auto"/>
        <w:rPr>
          <w:rFonts w:hint="eastAsia" w:eastAsia="宋体"/>
          <w:lang w:val="en-US" w:eastAsia="zh-CN"/>
        </w:rPr>
      </w:pPr>
      <w:r>
        <w:rPr>
          <w:rFonts w:hint="eastAsia" w:ascii="Palatino Linotype" w:hAnsi="Palatino Linotype" w:eastAsia="Times New Roman" w:cs="Times New Roman"/>
          <w:b/>
          <w:snapToGrid w:val="0"/>
          <w:color w:val="000000"/>
          <w:sz w:val="20"/>
          <w:szCs w:val="22"/>
          <w:lang w:val="en-US" w:eastAsia="de-DE" w:bidi="en-US"/>
        </w:rPr>
        <w:t>Table S</w:t>
      </w:r>
      <w:r>
        <w:rPr>
          <w:rFonts w:hint="eastAsia" w:eastAsia="宋体" w:cs="Times New Roman"/>
          <w:b/>
          <w:snapToGrid w:val="0"/>
          <w:color w:val="000000"/>
          <w:sz w:val="20"/>
          <w:szCs w:val="22"/>
          <w:lang w:val="en-US" w:eastAsia="zh-CN" w:bidi="en-US"/>
        </w:rPr>
        <w:t>2</w:t>
      </w:r>
    </w:p>
    <w:p>
      <w:pPr>
        <w:pStyle w:val="33"/>
        <w:ind w:left="0" w:leftChars="0" w:firstLine="0" w:firstLineChars="0"/>
        <w:jc w:val="center"/>
        <w:rPr>
          <w:rFonts w:hint="eastAsia"/>
          <w:sz w:val="18"/>
          <w:szCs w:val="18"/>
        </w:rPr>
      </w:pPr>
      <w:r>
        <w:rPr>
          <w:rFonts w:hint="eastAsia"/>
          <w:sz w:val="18"/>
          <w:szCs w:val="18"/>
        </w:rPr>
        <w:t>Volatile oil composition of chamomile.</w:t>
      </w:r>
    </w:p>
    <w:tbl>
      <w:tblPr>
        <w:tblStyle w:val="11"/>
        <w:tblW w:w="10465" w:type="dxa"/>
        <w:jc w:val="center"/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102"/>
        <w:gridCol w:w="396"/>
        <w:gridCol w:w="387"/>
        <w:gridCol w:w="373"/>
        <w:gridCol w:w="628"/>
        <w:gridCol w:w="421"/>
        <w:gridCol w:w="421"/>
        <w:gridCol w:w="421"/>
        <w:gridCol w:w="421"/>
        <w:gridCol w:w="421"/>
        <w:gridCol w:w="421"/>
        <w:gridCol w:w="421"/>
        <w:gridCol w:w="421"/>
        <w:gridCol w:w="421"/>
        <w:gridCol w:w="421"/>
        <w:gridCol w:w="421"/>
        <w:gridCol w:w="421"/>
        <w:gridCol w:w="423"/>
        <w:gridCol w:w="423"/>
        <w:gridCol w:w="423"/>
        <w:gridCol w:w="423"/>
        <w:gridCol w:w="423"/>
        <w:gridCol w:w="412"/>
      </w:tblGrid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jc w:val="center"/>
        </w:trPr>
        <w:tc>
          <w:tcPr>
            <w:tcW w:w="527" w:type="pct"/>
            <w:tcBorders>
              <w:top w:val="single" w:color="auto" w:sz="12" w:space="0"/>
              <w:left w:val="nil"/>
              <w:bottom w:val="single" w:color="auto" w:sz="12" w:space="0"/>
              <w:right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Compound</w:t>
            </w:r>
          </w:p>
        </w:tc>
        <w:tc>
          <w:tcPr>
            <w:tcW w:w="189" w:type="pct"/>
            <w:tcBorders>
              <w:top w:val="single" w:color="auto" w:sz="12" w:space="0"/>
              <w:left w:val="nil"/>
              <w:bottom w:val="single" w:color="auto" w:sz="12" w:space="0"/>
              <w:right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RT</w:t>
            </w:r>
          </w:p>
        </w:tc>
        <w:tc>
          <w:tcPr>
            <w:tcW w:w="185" w:type="pct"/>
            <w:tcBorders>
              <w:top w:val="single" w:color="auto" w:sz="12" w:space="0"/>
              <w:left w:val="nil"/>
              <w:bottom w:val="single" w:color="auto" w:sz="12" w:space="0"/>
              <w:right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RI</w:t>
            </w:r>
            <w:r>
              <w:rPr>
                <w:rFonts w:cs="Palatino Linotype"/>
                <w:sz w:val="18"/>
                <w:szCs w:val="11"/>
              </w:rPr>
              <w:t>-m</w:t>
            </w:r>
          </w:p>
        </w:tc>
        <w:tc>
          <w:tcPr>
            <w:tcW w:w="178" w:type="pct"/>
            <w:tcBorders>
              <w:top w:val="single" w:color="auto" w:sz="12" w:space="0"/>
              <w:left w:val="nil"/>
              <w:bottom w:val="single" w:color="auto" w:sz="12" w:space="0"/>
              <w:right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RI</w:t>
            </w:r>
            <w:r>
              <w:rPr>
                <w:rFonts w:cs="Palatino Linotype"/>
                <w:sz w:val="18"/>
                <w:szCs w:val="11"/>
              </w:rPr>
              <w:t>-r</w:t>
            </w:r>
          </w:p>
        </w:tc>
        <w:tc>
          <w:tcPr>
            <w:tcW w:w="300" w:type="pct"/>
            <w:tcBorders>
              <w:top w:val="single" w:color="auto" w:sz="12" w:space="0"/>
              <w:left w:val="nil"/>
              <w:bottom w:val="single" w:color="auto" w:sz="12" w:space="0"/>
              <w:right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CAS</w:t>
            </w:r>
          </w:p>
        </w:tc>
        <w:tc>
          <w:tcPr>
            <w:tcW w:w="201" w:type="pct"/>
            <w:tcBorders>
              <w:top w:val="single" w:color="auto" w:sz="12" w:space="0"/>
              <w:left w:val="nil"/>
              <w:bottom w:val="single" w:color="auto" w:sz="12" w:space="0"/>
              <w:right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S1</w:t>
            </w:r>
          </w:p>
        </w:tc>
        <w:tc>
          <w:tcPr>
            <w:tcW w:w="201" w:type="pct"/>
            <w:tcBorders>
              <w:top w:val="single" w:color="auto" w:sz="12" w:space="0"/>
              <w:left w:val="nil"/>
              <w:bottom w:val="single" w:color="auto" w:sz="12" w:space="0"/>
              <w:right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S2</w:t>
            </w:r>
          </w:p>
        </w:tc>
        <w:tc>
          <w:tcPr>
            <w:tcW w:w="201" w:type="pct"/>
            <w:tcBorders>
              <w:top w:val="single" w:color="auto" w:sz="12" w:space="0"/>
              <w:left w:val="nil"/>
              <w:bottom w:val="single" w:color="auto" w:sz="12" w:space="0"/>
              <w:right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S3</w:t>
            </w:r>
          </w:p>
        </w:tc>
        <w:tc>
          <w:tcPr>
            <w:tcW w:w="201" w:type="pct"/>
            <w:tcBorders>
              <w:top w:val="single" w:color="auto" w:sz="12" w:space="0"/>
              <w:left w:val="nil"/>
              <w:bottom w:val="single" w:color="auto" w:sz="12" w:space="0"/>
              <w:right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S4</w:t>
            </w:r>
          </w:p>
        </w:tc>
        <w:tc>
          <w:tcPr>
            <w:tcW w:w="201" w:type="pct"/>
            <w:tcBorders>
              <w:top w:val="single" w:color="auto" w:sz="12" w:space="0"/>
              <w:left w:val="nil"/>
              <w:bottom w:val="single" w:color="auto" w:sz="12" w:space="0"/>
              <w:right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S5</w:t>
            </w:r>
          </w:p>
        </w:tc>
        <w:tc>
          <w:tcPr>
            <w:tcW w:w="201" w:type="pct"/>
            <w:tcBorders>
              <w:top w:val="single" w:color="auto" w:sz="12" w:space="0"/>
              <w:left w:val="nil"/>
              <w:bottom w:val="single" w:color="auto" w:sz="12" w:space="0"/>
              <w:right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S6</w:t>
            </w:r>
          </w:p>
        </w:tc>
        <w:tc>
          <w:tcPr>
            <w:tcW w:w="201" w:type="pct"/>
            <w:tcBorders>
              <w:top w:val="single" w:color="auto" w:sz="12" w:space="0"/>
              <w:left w:val="nil"/>
              <w:bottom w:val="single" w:color="auto" w:sz="12" w:space="0"/>
              <w:right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S7</w:t>
            </w:r>
          </w:p>
        </w:tc>
        <w:tc>
          <w:tcPr>
            <w:tcW w:w="201" w:type="pct"/>
            <w:tcBorders>
              <w:top w:val="single" w:color="auto" w:sz="12" w:space="0"/>
              <w:left w:val="nil"/>
              <w:bottom w:val="single" w:color="auto" w:sz="12" w:space="0"/>
              <w:right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S8</w:t>
            </w:r>
          </w:p>
        </w:tc>
        <w:tc>
          <w:tcPr>
            <w:tcW w:w="201" w:type="pct"/>
            <w:tcBorders>
              <w:top w:val="single" w:color="auto" w:sz="12" w:space="0"/>
              <w:left w:val="nil"/>
              <w:bottom w:val="single" w:color="auto" w:sz="12" w:space="0"/>
              <w:right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S9</w:t>
            </w:r>
          </w:p>
        </w:tc>
        <w:tc>
          <w:tcPr>
            <w:tcW w:w="201" w:type="pct"/>
            <w:tcBorders>
              <w:top w:val="single" w:color="auto" w:sz="12" w:space="0"/>
              <w:left w:val="nil"/>
              <w:bottom w:val="single" w:color="auto" w:sz="12" w:space="0"/>
              <w:right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S</w:t>
            </w:r>
            <w:r>
              <w:rPr>
                <w:rFonts w:cs="Palatino Linotype"/>
                <w:sz w:val="18"/>
                <w:szCs w:val="11"/>
              </w:rPr>
              <w:t>10</w:t>
            </w:r>
          </w:p>
        </w:tc>
        <w:tc>
          <w:tcPr>
            <w:tcW w:w="201" w:type="pct"/>
            <w:tcBorders>
              <w:top w:val="single" w:color="auto" w:sz="12" w:space="0"/>
              <w:left w:val="nil"/>
              <w:bottom w:val="single" w:color="auto" w:sz="12" w:space="0"/>
              <w:right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S11</w:t>
            </w:r>
          </w:p>
        </w:tc>
        <w:tc>
          <w:tcPr>
            <w:tcW w:w="201" w:type="pct"/>
            <w:tcBorders>
              <w:top w:val="single" w:color="auto" w:sz="12" w:space="0"/>
              <w:left w:val="nil"/>
              <w:bottom w:val="single" w:color="auto" w:sz="12" w:space="0"/>
              <w:right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S12</w:t>
            </w:r>
          </w:p>
        </w:tc>
        <w:tc>
          <w:tcPr>
            <w:tcW w:w="202" w:type="pct"/>
            <w:tcBorders>
              <w:top w:val="single" w:color="auto" w:sz="12" w:space="0"/>
              <w:left w:val="nil"/>
              <w:bottom w:val="single" w:color="auto" w:sz="12" w:space="0"/>
              <w:right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S13</w:t>
            </w:r>
          </w:p>
        </w:tc>
        <w:tc>
          <w:tcPr>
            <w:tcW w:w="202" w:type="pct"/>
            <w:tcBorders>
              <w:top w:val="single" w:color="auto" w:sz="12" w:space="0"/>
              <w:left w:val="nil"/>
              <w:bottom w:val="single" w:color="auto" w:sz="12" w:space="0"/>
              <w:right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S14</w:t>
            </w:r>
          </w:p>
        </w:tc>
        <w:tc>
          <w:tcPr>
            <w:tcW w:w="202" w:type="pct"/>
            <w:tcBorders>
              <w:top w:val="single" w:color="auto" w:sz="12" w:space="0"/>
              <w:left w:val="nil"/>
              <w:bottom w:val="single" w:color="auto" w:sz="12" w:space="0"/>
              <w:right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S15</w:t>
            </w:r>
          </w:p>
        </w:tc>
        <w:tc>
          <w:tcPr>
            <w:tcW w:w="202" w:type="pct"/>
            <w:tcBorders>
              <w:top w:val="single" w:color="auto" w:sz="12" w:space="0"/>
              <w:left w:val="nil"/>
              <w:bottom w:val="single" w:color="auto" w:sz="12" w:space="0"/>
              <w:right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S16</w:t>
            </w:r>
          </w:p>
        </w:tc>
        <w:tc>
          <w:tcPr>
            <w:tcW w:w="202" w:type="pct"/>
            <w:tcBorders>
              <w:top w:val="single" w:color="auto" w:sz="12" w:space="0"/>
              <w:left w:val="nil"/>
              <w:bottom w:val="single" w:color="auto" w:sz="12" w:space="0"/>
              <w:right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S17</w:t>
            </w:r>
          </w:p>
        </w:tc>
        <w:tc>
          <w:tcPr>
            <w:tcW w:w="197" w:type="pct"/>
            <w:tcBorders>
              <w:top w:val="single" w:color="auto" w:sz="12" w:space="0"/>
              <w:left w:val="nil"/>
              <w:bottom w:val="single" w:color="auto" w:sz="12" w:space="0"/>
              <w:right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S18</w:t>
            </w: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jc w:val="center"/>
        </w:trPr>
        <w:tc>
          <w:tcPr>
            <w:tcW w:w="527" w:type="pct"/>
            <w:tcBorders>
              <w:top w:val="single" w:color="auto" w:sz="12" w:space="0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(</w:t>
            </w:r>
            <w:r>
              <w:rPr>
                <w:rFonts w:eastAsia="Times New Roman" w:cs="Palatino Linotype"/>
                <w:i/>
                <w:iCs/>
                <w:sz w:val="18"/>
                <w:szCs w:val="11"/>
              </w:rPr>
              <w:t>E</w:t>
            </w:r>
            <w:r>
              <w:rPr>
                <w:rFonts w:eastAsia="Times New Roman" w:cs="Palatino Linotype"/>
                <w:sz w:val="18"/>
                <w:szCs w:val="11"/>
              </w:rPr>
              <w:t>)-beta-farnesene</w:t>
            </w:r>
          </w:p>
        </w:tc>
        <w:tc>
          <w:tcPr>
            <w:tcW w:w="189" w:type="pct"/>
            <w:tcBorders>
              <w:top w:val="single" w:color="auto" w:sz="12" w:space="0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22.05</w:t>
            </w:r>
          </w:p>
        </w:tc>
        <w:tc>
          <w:tcPr>
            <w:tcW w:w="185" w:type="pct"/>
            <w:tcBorders>
              <w:top w:val="single" w:color="auto" w:sz="12" w:space="0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1459</w:t>
            </w:r>
          </w:p>
        </w:tc>
        <w:tc>
          <w:tcPr>
            <w:tcW w:w="178" w:type="pct"/>
            <w:tcBorders>
              <w:top w:val="single" w:color="auto" w:sz="12" w:space="0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1448</w:t>
            </w:r>
          </w:p>
        </w:tc>
        <w:tc>
          <w:tcPr>
            <w:tcW w:w="300" w:type="pct"/>
            <w:tcBorders>
              <w:top w:val="single" w:color="auto" w:sz="12" w:space="0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18794-84-8</w:t>
            </w:r>
          </w:p>
        </w:tc>
        <w:tc>
          <w:tcPr>
            <w:tcW w:w="201" w:type="pct"/>
            <w:tcBorders>
              <w:top w:val="single" w:color="auto" w:sz="12" w:space="0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1.02</w:t>
            </w:r>
          </w:p>
        </w:tc>
        <w:tc>
          <w:tcPr>
            <w:tcW w:w="201" w:type="pct"/>
            <w:tcBorders>
              <w:top w:val="single" w:color="auto" w:sz="12" w:space="0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1.14</w:t>
            </w:r>
          </w:p>
        </w:tc>
        <w:tc>
          <w:tcPr>
            <w:tcW w:w="201" w:type="pct"/>
            <w:tcBorders>
              <w:top w:val="single" w:color="auto" w:sz="12" w:space="0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1.47</w:t>
            </w:r>
          </w:p>
        </w:tc>
        <w:tc>
          <w:tcPr>
            <w:tcW w:w="201" w:type="pct"/>
            <w:tcBorders>
              <w:top w:val="single" w:color="auto" w:sz="12" w:space="0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0.63</w:t>
            </w:r>
          </w:p>
        </w:tc>
        <w:tc>
          <w:tcPr>
            <w:tcW w:w="201" w:type="pct"/>
            <w:tcBorders>
              <w:top w:val="single" w:color="auto" w:sz="12" w:space="0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1.28</w:t>
            </w:r>
          </w:p>
        </w:tc>
        <w:tc>
          <w:tcPr>
            <w:tcW w:w="201" w:type="pct"/>
            <w:tcBorders>
              <w:top w:val="single" w:color="auto" w:sz="12" w:space="0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1.06</w:t>
            </w:r>
          </w:p>
        </w:tc>
        <w:tc>
          <w:tcPr>
            <w:tcW w:w="201" w:type="pct"/>
            <w:tcBorders>
              <w:top w:val="single" w:color="auto" w:sz="12" w:space="0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2.00</w:t>
            </w:r>
          </w:p>
        </w:tc>
        <w:tc>
          <w:tcPr>
            <w:tcW w:w="201" w:type="pct"/>
            <w:tcBorders>
              <w:top w:val="single" w:color="auto" w:sz="12" w:space="0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1.94</w:t>
            </w:r>
          </w:p>
        </w:tc>
        <w:tc>
          <w:tcPr>
            <w:tcW w:w="201" w:type="pct"/>
            <w:tcBorders>
              <w:top w:val="single" w:color="auto" w:sz="12" w:space="0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0.77</w:t>
            </w:r>
          </w:p>
        </w:tc>
        <w:tc>
          <w:tcPr>
            <w:tcW w:w="201" w:type="pct"/>
            <w:tcBorders>
              <w:top w:val="single" w:color="auto" w:sz="12" w:space="0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1.27</w:t>
            </w:r>
          </w:p>
        </w:tc>
        <w:tc>
          <w:tcPr>
            <w:tcW w:w="201" w:type="pct"/>
            <w:tcBorders>
              <w:top w:val="single" w:color="auto" w:sz="12" w:space="0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0.08</w:t>
            </w:r>
          </w:p>
        </w:tc>
        <w:tc>
          <w:tcPr>
            <w:tcW w:w="201" w:type="pct"/>
            <w:tcBorders>
              <w:top w:val="single" w:color="auto" w:sz="12" w:space="0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0.07</w:t>
            </w:r>
          </w:p>
        </w:tc>
        <w:tc>
          <w:tcPr>
            <w:tcW w:w="202" w:type="pct"/>
            <w:tcBorders>
              <w:top w:val="single" w:color="auto" w:sz="12" w:space="0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0.07</w:t>
            </w:r>
          </w:p>
        </w:tc>
        <w:tc>
          <w:tcPr>
            <w:tcW w:w="202" w:type="pct"/>
            <w:tcBorders>
              <w:top w:val="single" w:color="auto" w:sz="12" w:space="0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0.00</w:t>
            </w:r>
          </w:p>
        </w:tc>
        <w:tc>
          <w:tcPr>
            <w:tcW w:w="202" w:type="pct"/>
            <w:tcBorders>
              <w:top w:val="single" w:color="auto" w:sz="12" w:space="0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0.00</w:t>
            </w:r>
          </w:p>
        </w:tc>
        <w:tc>
          <w:tcPr>
            <w:tcW w:w="202" w:type="pct"/>
            <w:tcBorders>
              <w:top w:val="single" w:color="auto" w:sz="12" w:space="0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0.03</w:t>
            </w:r>
          </w:p>
        </w:tc>
        <w:tc>
          <w:tcPr>
            <w:tcW w:w="202" w:type="pct"/>
            <w:tcBorders>
              <w:top w:val="single" w:color="auto" w:sz="12" w:space="0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0.06</w:t>
            </w:r>
          </w:p>
        </w:tc>
        <w:tc>
          <w:tcPr>
            <w:tcW w:w="197" w:type="pct"/>
            <w:tcBorders>
              <w:top w:val="single" w:color="auto" w:sz="12" w:space="0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0.13</w:t>
            </w: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jc w:val="center"/>
        </w:trPr>
        <w:tc>
          <w:tcPr>
            <w:tcW w:w="52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Dehydrosesquicineole</w:t>
            </w:r>
          </w:p>
        </w:tc>
        <w:tc>
          <w:tcPr>
            <w:tcW w:w="189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22.33</w:t>
            </w:r>
          </w:p>
        </w:tc>
        <w:tc>
          <w:tcPr>
            <w:tcW w:w="18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1471</w:t>
            </w:r>
          </w:p>
        </w:tc>
        <w:tc>
          <w:tcPr>
            <w:tcW w:w="178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1473</w:t>
            </w: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211237-38-6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0.00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0.00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0.00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0.00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0.00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0.00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0.00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0.00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0.00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0.00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0.02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0.00</w:t>
            </w:r>
          </w:p>
        </w:tc>
        <w:tc>
          <w:tcPr>
            <w:tcW w:w="20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0.00</w:t>
            </w:r>
          </w:p>
        </w:tc>
        <w:tc>
          <w:tcPr>
            <w:tcW w:w="20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0.00</w:t>
            </w:r>
          </w:p>
        </w:tc>
        <w:tc>
          <w:tcPr>
            <w:tcW w:w="20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0.00</w:t>
            </w:r>
          </w:p>
        </w:tc>
        <w:tc>
          <w:tcPr>
            <w:tcW w:w="20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0.00</w:t>
            </w:r>
          </w:p>
        </w:tc>
        <w:tc>
          <w:tcPr>
            <w:tcW w:w="20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0.00</w:t>
            </w:r>
          </w:p>
        </w:tc>
        <w:tc>
          <w:tcPr>
            <w:tcW w:w="19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0.00</w:t>
            </w: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jc w:val="center"/>
        </w:trPr>
        <w:tc>
          <w:tcPr>
            <w:tcW w:w="52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Germacrene D</w:t>
            </w:r>
          </w:p>
        </w:tc>
        <w:tc>
          <w:tcPr>
            <w:tcW w:w="189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22.68</w:t>
            </w:r>
          </w:p>
        </w:tc>
        <w:tc>
          <w:tcPr>
            <w:tcW w:w="18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1485</w:t>
            </w:r>
          </w:p>
        </w:tc>
        <w:tc>
          <w:tcPr>
            <w:tcW w:w="178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1477</w:t>
            </w: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23986-74-5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0.04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0.10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0.09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0.06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0.11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0.07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0.36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0.38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0.15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0.18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0.00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0.00</w:t>
            </w:r>
          </w:p>
        </w:tc>
        <w:tc>
          <w:tcPr>
            <w:tcW w:w="20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0.00</w:t>
            </w:r>
          </w:p>
        </w:tc>
        <w:tc>
          <w:tcPr>
            <w:tcW w:w="20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0.00</w:t>
            </w:r>
          </w:p>
        </w:tc>
        <w:tc>
          <w:tcPr>
            <w:tcW w:w="20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0.00</w:t>
            </w:r>
          </w:p>
        </w:tc>
        <w:tc>
          <w:tcPr>
            <w:tcW w:w="20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0.00</w:t>
            </w:r>
          </w:p>
        </w:tc>
        <w:tc>
          <w:tcPr>
            <w:tcW w:w="20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0.00</w:t>
            </w:r>
          </w:p>
        </w:tc>
        <w:tc>
          <w:tcPr>
            <w:tcW w:w="19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0.00</w:t>
            </w: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jc w:val="center"/>
        </w:trPr>
        <w:tc>
          <w:tcPr>
            <w:tcW w:w="52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Bicyclogermacrene</w:t>
            </w:r>
          </w:p>
        </w:tc>
        <w:tc>
          <w:tcPr>
            <w:tcW w:w="189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23.06</w:t>
            </w:r>
          </w:p>
        </w:tc>
        <w:tc>
          <w:tcPr>
            <w:tcW w:w="18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1500</w:t>
            </w:r>
          </w:p>
        </w:tc>
        <w:tc>
          <w:tcPr>
            <w:tcW w:w="178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1492</w:t>
            </w: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24703-35-3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0.00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0.10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0.00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0.00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0.12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0.07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0.38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0.41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0.16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0.18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0.00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0.00</w:t>
            </w:r>
          </w:p>
        </w:tc>
        <w:tc>
          <w:tcPr>
            <w:tcW w:w="20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0.00</w:t>
            </w:r>
          </w:p>
        </w:tc>
        <w:tc>
          <w:tcPr>
            <w:tcW w:w="20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0.00</w:t>
            </w:r>
          </w:p>
        </w:tc>
        <w:tc>
          <w:tcPr>
            <w:tcW w:w="20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0.00</w:t>
            </w:r>
          </w:p>
        </w:tc>
        <w:tc>
          <w:tcPr>
            <w:tcW w:w="20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0.00</w:t>
            </w:r>
          </w:p>
        </w:tc>
        <w:tc>
          <w:tcPr>
            <w:tcW w:w="20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0.00</w:t>
            </w:r>
          </w:p>
        </w:tc>
        <w:tc>
          <w:tcPr>
            <w:tcW w:w="19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0.00</w:t>
            </w: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jc w:val="center"/>
        </w:trPr>
        <w:tc>
          <w:tcPr>
            <w:tcW w:w="52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Spathulenol</w:t>
            </w:r>
          </w:p>
        </w:tc>
        <w:tc>
          <w:tcPr>
            <w:tcW w:w="189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25.21</w:t>
            </w:r>
          </w:p>
        </w:tc>
        <w:tc>
          <w:tcPr>
            <w:tcW w:w="18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1592</w:t>
            </w:r>
          </w:p>
        </w:tc>
        <w:tc>
          <w:tcPr>
            <w:tcW w:w="178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1568</w:t>
            </w: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6750-60-3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0.00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0.48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0.15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0.27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0.23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0.14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0.19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0.18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0.25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0.23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0.55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0.49</w:t>
            </w:r>
          </w:p>
        </w:tc>
        <w:tc>
          <w:tcPr>
            <w:tcW w:w="20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0.59</w:t>
            </w:r>
          </w:p>
        </w:tc>
        <w:tc>
          <w:tcPr>
            <w:tcW w:w="20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0.36</w:t>
            </w:r>
          </w:p>
        </w:tc>
        <w:tc>
          <w:tcPr>
            <w:tcW w:w="20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0.68</w:t>
            </w:r>
          </w:p>
        </w:tc>
        <w:tc>
          <w:tcPr>
            <w:tcW w:w="20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0.08</w:t>
            </w:r>
          </w:p>
        </w:tc>
        <w:tc>
          <w:tcPr>
            <w:tcW w:w="20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0.06</w:t>
            </w:r>
          </w:p>
        </w:tc>
        <w:tc>
          <w:tcPr>
            <w:tcW w:w="19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0.06</w:t>
            </w: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jc w:val="center"/>
        </w:trPr>
        <w:tc>
          <w:tcPr>
            <w:tcW w:w="52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i/>
                <w:iCs/>
                <w:sz w:val="18"/>
                <w:szCs w:val="11"/>
              </w:rPr>
              <w:t>γ</w:t>
            </w:r>
            <w:r>
              <w:rPr>
                <w:rFonts w:eastAsia="Times New Roman" w:cs="Palatino Linotype"/>
                <w:sz w:val="18"/>
                <w:szCs w:val="11"/>
              </w:rPr>
              <w:t>-Eudesmol</w:t>
            </w:r>
          </w:p>
        </w:tc>
        <w:tc>
          <w:tcPr>
            <w:tcW w:w="189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25.90</w:t>
            </w:r>
          </w:p>
        </w:tc>
        <w:tc>
          <w:tcPr>
            <w:tcW w:w="18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1622</w:t>
            </w:r>
          </w:p>
        </w:tc>
        <w:tc>
          <w:tcPr>
            <w:tcW w:w="178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1630</w:t>
            </w: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1209-71-8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0.00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0.10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0.00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0.10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0.09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0.09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0.10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0.12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0.08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0.08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0.10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0.07</w:t>
            </w:r>
          </w:p>
        </w:tc>
        <w:tc>
          <w:tcPr>
            <w:tcW w:w="20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0.09</w:t>
            </w:r>
          </w:p>
        </w:tc>
        <w:tc>
          <w:tcPr>
            <w:tcW w:w="20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0.08</w:t>
            </w:r>
          </w:p>
        </w:tc>
        <w:tc>
          <w:tcPr>
            <w:tcW w:w="20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0.15</w:t>
            </w:r>
          </w:p>
        </w:tc>
        <w:tc>
          <w:tcPr>
            <w:tcW w:w="20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0.05</w:t>
            </w:r>
          </w:p>
        </w:tc>
        <w:tc>
          <w:tcPr>
            <w:tcW w:w="20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0.03</w:t>
            </w:r>
          </w:p>
        </w:tc>
        <w:tc>
          <w:tcPr>
            <w:tcW w:w="19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0.04</w:t>
            </w: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jc w:val="center"/>
        </w:trPr>
        <w:tc>
          <w:tcPr>
            <w:tcW w:w="52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i/>
                <w:iCs/>
                <w:sz w:val="18"/>
                <w:szCs w:val="11"/>
              </w:rPr>
              <w:t>β</w:t>
            </w:r>
            <w:r>
              <w:rPr>
                <w:rFonts w:eastAsia="Times New Roman" w:cs="Palatino Linotype"/>
                <w:sz w:val="18"/>
                <w:szCs w:val="11"/>
              </w:rPr>
              <w:t>-Bisabolol</w:t>
            </w:r>
          </w:p>
        </w:tc>
        <w:tc>
          <w:tcPr>
            <w:tcW w:w="189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26.29</w:t>
            </w:r>
          </w:p>
        </w:tc>
        <w:tc>
          <w:tcPr>
            <w:tcW w:w="18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1640</w:t>
            </w:r>
          </w:p>
        </w:tc>
        <w:tc>
          <w:tcPr>
            <w:tcW w:w="178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1758</w:t>
            </w: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15352-77-9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0.00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0.05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0.00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0.00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0.00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0.05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0.00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0.05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0.00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0.00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0.03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0.04</w:t>
            </w:r>
          </w:p>
        </w:tc>
        <w:tc>
          <w:tcPr>
            <w:tcW w:w="20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0.04</w:t>
            </w:r>
          </w:p>
        </w:tc>
        <w:tc>
          <w:tcPr>
            <w:tcW w:w="20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0.00</w:t>
            </w:r>
          </w:p>
        </w:tc>
        <w:tc>
          <w:tcPr>
            <w:tcW w:w="20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0.06</w:t>
            </w:r>
          </w:p>
        </w:tc>
        <w:tc>
          <w:tcPr>
            <w:tcW w:w="20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0.00</w:t>
            </w:r>
          </w:p>
        </w:tc>
        <w:tc>
          <w:tcPr>
            <w:tcW w:w="20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0.00</w:t>
            </w:r>
          </w:p>
        </w:tc>
        <w:tc>
          <w:tcPr>
            <w:tcW w:w="19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0.00</w:t>
            </w: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jc w:val="center"/>
        </w:trPr>
        <w:tc>
          <w:tcPr>
            <w:tcW w:w="52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i/>
                <w:iCs/>
                <w:sz w:val="18"/>
                <w:szCs w:val="11"/>
              </w:rPr>
              <w:t>γ</w:t>
            </w:r>
            <w:r>
              <w:rPr>
                <w:rFonts w:eastAsia="Times New Roman" w:cs="Palatino Linotype"/>
                <w:sz w:val="18"/>
                <w:szCs w:val="11"/>
              </w:rPr>
              <w:t>-Cadinol</w:t>
            </w:r>
          </w:p>
        </w:tc>
        <w:tc>
          <w:tcPr>
            <w:tcW w:w="189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26.49</w:t>
            </w:r>
          </w:p>
        </w:tc>
        <w:tc>
          <w:tcPr>
            <w:tcW w:w="18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1649</w:t>
            </w:r>
          </w:p>
        </w:tc>
        <w:tc>
          <w:tcPr>
            <w:tcW w:w="178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1639</w:t>
            </w: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5937-11-1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0.00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0.05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0.06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0.00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0.00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0.00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0.03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0.03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0.00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0.00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0.00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0.00</w:t>
            </w:r>
          </w:p>
        </w:tc>
        <w:tc>
          <w:tcPr>
            <w:tcW w:w="20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0.00</w:t>
            </w:r>
          </w:p>
        </w:tc>
        <w:tc>
          <w:tcPr>
            <w:tcW w:w="20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0.00</w:t>
            </w:r>
          </w:p>
        </w:tc>
        <w:tc>
          <w:tcPr>
            <w:tcW w:w="20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0.00</w:t>
            </w:r>
          </w:p>
        </w:tc>
        <w:tc>
          <w:tcPr>
            <w:tcW w:w="20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0.00</w:t>
            </w:r>
          </w:p>
        </w:tc>
        <w:tc>
          <w:tcPr>
            <w:tcW w:w="20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0.00</w:t>
            </w:r>
          </w:p>
        </w:tc>
        <w:tc>
          <w:tcPr>
            <w:tcW w:w="19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0.00</w:t>
            </w: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jc w:val="center"/>
        </w:trPr>
        <w:tc>
          <w:tcPr>
            <w:tcW w:w="52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i/>
                <w:iCs/>
                <w:sz w:val="18"/>
                <w:szCs w:val="11"/>
              </w:rPr>
              <w:t>α</w:t>
            </w:r>
            <w:r>
              <w:rPr>
                <w:rFonts w:eastAsia="Times New Roman" w:cs="Palatino Linotype"/>
                <w:sz w:val="18"/>
                <w:szCs w:val="11"/>
              </w:rPr>
              <w:t>-Bisabolol oxide B</w:t>
            </w:r>
          </w:p>
        </w:tc>
        <w:tc>
          <w:tcPr>
            <w:tcW w:w="189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26.82</w:t>
            </w:r>
          </w:p>
        </w:tc>
        <w:tc>
          <w:tcPr>
            <w:tcW w:w="18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1663</w:t>
            </w:r>
          </w:p>
        </w:tc>
        <w:tc>
          <w:tcPr>
            <w:tcW w:w="178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1644</w:t>
            </w: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26184-88-3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0.67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2.92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0.70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2.34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2.82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2.62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2.30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2.62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3.36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2.63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1.51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1.40</w:t>
            </w:r>
          </w:p>
        </w:tc>
        <w:tc>
          <w:tcPr>
            <w:tcW w:w="20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1.44</w:t>
            </w:r>
          </w:p>
        </w:tc>
        <w:tc>
          <w:tcPr>
            <w:tcW w:w="20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0.88</w:t>
            </w:r>
          </w:p>
        </w:tc>
        <w:tc>
          <w:tcPr>
            <w:tcW w:w="20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2.04</w:t>
            </w:r>
          </w:p>
        </w:tc>
        <w:tc>
          <w:tcPr>
            <w:tcW w:w="20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1.17</w:t>
            </w:r>
          </w:p>
        </w:tc>
        <w:tc>
          <w:tcPr>
            <w:tcW w:w="20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1.26</w:t>
            </w:r>
          </w:p>
        </w:tc>
        <w:tc>
          <w:tcPr>
            <w:tcW w:w="19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0.83</w:t>
            </w: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jc w:val="center"/>
        </w:trPr>
        <w:tc>
          <w:tcPr>
            <w:tcW w:w="52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Bisabolol oxide B</w:t>
            </w:r>
          </w:p>
        </w:tc>
        <w:tc>
          <w:tcPr>
            <w:tcW w:w="189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26.86</w:t>
            </w:r>
          </w:p>
        </w:tc>
        <w:tc>
          <w:tcPr>
            <w:tcW w:w="18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1665</w:t>
            </w:r>
          </w:p>
        </w:tc>
        <w:tc>
          <w:tcPr>
            <w:tcW w:w="178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1666</w:t>
            </w: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55399-12-7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0.00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0.21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0.14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0.15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0.00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0.00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0.11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0.00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0.00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0.00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0.00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0.00</w:t>
            </w:r>
          </w:p>
        </w:tc>
        <w:tc>
          <w:tcPr>
            <w:tcW w:w="20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0.00</w:t>
            </w:r>
          </w:p>
        </w:tc>
        <w:tc>
          <w:tcPr>
            <w:tcW w:w="20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0.00</w:t>
            </w:r>
          </w:p>
        </w:tc>
        <w:tc>
          <w:tcPr>
            <w:tcW w:w="20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0.00</w:t>
            </w:r>
          </w:p>
        </w:tc>
        <w:tc>
          <w:tcPr>
            <w:tcW w:w="20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0.06</w:t>
            </w:r>
          </w:p>
        </w:tc>
        <w:tc>
          <w:tcPr>
            <w:tcW w:w="20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0.04</w:t>
            </w:r>
          </w:p>
        </w:tc>
        <w:tc>
          <w:tcPr>
            <w:tcW w:w="19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0.06</w:t>
            </w: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jc w:val="center"/>
        </w:trPr>
        <w:tc>
          <w:tcPr>
            <w:tcW w:w="52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i/>
                <w:iCs/>
                <w:sz w:val="18"/>
                <w:szCs w:val="11"/>
              </w:rPr>
              <w:t>α</w:t>
            </w:r>
            <w:r>
              <w:rPr>
                <w:rFonts w:eastAsia="Times New Roman" w:cs="Palatino Linotype"/>
                <w:sz w:val="18"/>
                <w:szCs w:val="11"/>
              </w:rPr>
              <w:t>-Bisabolone oxide A</w:t>
            </w:r>
          </w:p>
        </w:tc>
        <w:tc>
          <w:tcPr>
            <w:tcW w:w="189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27.37</w:t>
            </w:r>
          </w:p>
        </w:tc>
        <w:tc>
          <w:tcPr>
            <w:tcW w:w="18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1688</w:t>
            </w:r>
          </w:p>
        </w:tc>
        <w:tc>
          <w:tcPr>
            <w:tcW w:w="178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1670</w:t>
            </w: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22567-38-0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0.39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1.31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0.60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1.41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0.98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1.04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1.47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1.31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2.14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1.76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1.21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1.07</w:t>
            </w:r>
          </w:p>
        </w:tc>
        <w:tc>
          <w:tcPr>
            <w:tcW w:w="20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1.22</w:t>
            </w:r>
          </w:p>
        </w:tc>
        <w:tc>
          <w:tcPr>
            <w:tcW w:w="20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0.72</w:t>
            </w:r>
          </w:p>
        </w:tc>
        <w:tc>
          <w:tcPr>
            <w:tcW w:w="20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1.38</w:t>
            </w:r>
          </w:p>
        </w:tc>
        <w:tc>
          <w:tcPr>
            <w:tcW w:w="20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0.45</w:t>
            </w:r>
          </w:p>
        </w:tc>
        <w:tc>
          <w:tcPr>
            <w:tcW w:w="20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0.54</w:t>
            </w:r>
          </w:p>
        </w:tc>
        <w:tc>
          <w:tcPr>
            <w:tcW w:w="19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0.31</w:t>
            </w: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jc w:val="center"/>
        </w:trPr>
        <w:tc>
          <w:tcPr>
            <w:tcW w:w="52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i/>
                <w:iCs/>
                <w:sz w:val="18"/>
                <w:szCs w:val="11"/>
              </w:rPr>
              <w:t>α</w:t>
            </w:r>
            <w:r>
              <w:rPr>
                <w:rFonts w:eastAsia="Times New Roman" w:cs="Palatino Linotype"/>
                <w:sz w:val="18"/>
                <w:szCs w:val="11"/>
              </w:rPr>
              <w:t>-Bisabolol</w:t>
            </w:r>
          </w:p>
        </w:tc>
        <w:tc>
          <w:tcPr>
            <w:tcW w:w="189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27.53</w:t>
            </w:r>
          </w:p>
        </w:tc>
        <w:tc>
          <w:tcPr>
            <w:tcW w:w="18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1695</w:t>
            </w:r>
          </w:p>
        </w:tc>
        <w:tc>
          <w:tcPr>
            <w:tcW w:w="178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1684</w:t>
            </w: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515-69-5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0.01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0.00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0.00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0.00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0.01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0.01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0.00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0.00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0.00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0.00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0.01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0.01</w:t>
            </w:r>
          </w:p>
        </w:tc>
        <w:tc>
          <w:tcPr>
            <w:tcW w:w="20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0.01</w:t>
            </w:r>
          </w:p>
        </w:tc>
        <w:tc>
          <w:tcPr>
            <w:tcW w:w="20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0.00</w:t>
            </w:r>
          </w:p>
        </w:tc>
        <w:tc>
          <w:tcPr>
            <w:tcW w:w="20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0.01</w:t>
            </w:r>
          </w:p>
        </w:tc>
        <w:tc>
          <w:tcPr>
            <w:tcW w:w="20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0.00</w:t>
            </w:r>
          </w:p>
        </w:tc>
        <w:tc>
          <w:tcPr>
            <w:tcW w:w="20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0.00</w:t>
            </w:r>
          </w:p>
        </w:tc>
        <w:tc>
          <w:tcPr>
            <w:tcW w:w="19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0.00</w:t>
            </w: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jc w:val="center"/>
        </w:trPr>
        <w:tc>
          <w:tcPr>
            <w:tcW w:w="52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Chamazulene</w:t>
            </w:r>
          </w:p>
        </w:tc>
        <w:tc>
          <w:tcPr>
            <w:tcW w:w="189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28.42</w:t>
            </w:r>
          </w:p>
        </w:tc>
        <w:tc>
          <w:tcPr>
            <w:tcW w:w="18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1737</w:t>
            </w:r>
          </w:p>
        </w:tc>
        <w:tc>
          <w:tcPr>
            <w:tcW w:w="178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1707</w:t>
            </w: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529-05-5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0.09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1.08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0.17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1.28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0.93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0.57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1.92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2.05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3.79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2.37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0.52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0.51</w:t>
            </w:r>
          </w:p>
        </w:tc>
        <w:tc>
          <w:tcPr>
            <w:tcW w:w="20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0.57</w:t>
            </w:r>
          </w:p>
        </w:tc>
        <w:tc>
          <w:tcPr>
            <w:tcW w:w="20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0.17</w:t>
            </w:r>
          </w:p>
        </w:tc>
        <w:tc>
          <w:tcPr>
            <w:tcW w:w="20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0.47</w:t>
            </w:r>
          </w:p>
        </w:tc>
        <w:tc>
          <w:tcPr>
            <w:tcW w:w="20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0.18</w:t>
            </w:r>
          </w:p>
        </w:tc>
        <w:tc>
          <w:tcPr>
            <w:tcW w:w="20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0.31</w:t>
            </w:r>
          </w:p>
        </w:tc>
        <w:tc>
          <w:tcPr>
            <w:tcW w:w="19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0.17</w:t>
            </w: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jc w:val="center"/>
        </w:trPr>
        <w:tc>
          <w:tcPr>
            <w:tcW w:w="52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α</w:t>
            </w:r>
            <w:r>
              <w:rPr>
                <w:rFonts w:cs="Palatino Linotype"/>
                <w:sz w:val="18"/>
                <w:szCs w:val="11"/>
              </w:rPr>
              <w:t>-</w:t>
            </w:r>
            <w:r>
              <w:rPr>
                <w:rFonts w:eastAsia="Times New Roman" w:cs="Palatino Linotype"/>
                <w:sz w:val="18"/>
                <w:szCs w:val="11"/>
              </w:rPr>
              <w:t>Bisabolol oxide A</w:t>
            </w:r>
          </w:p>
        </w:tc>
        <w:tc>
          <w:tcPr>
            <w:tcW w:w="189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28.90</w:t>
            </w:r>
          </w:p>
        </w:tc>
        <w:tc>
          <w:tcPr>
            <w:tcW w:w="18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1759</w:t>
            </w:r>
          </w:p>
        </w:tc>
        <w:tc>
          <w:tcPr>
            <w:tcW w:w="178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1758</w:t>
            </w: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22567-36-8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0.61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0.31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0.85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0.32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0.23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0.25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0.39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0.40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0.44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0.42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0.25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0.26</w:t>
            </w:r>
          </w:p>
        </w:tc>
        <w:tc>
          <w:tcPr>
            <w:tcW w:w="20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0.21</w:t>
            </w:r>
          </w:p>
        </w:tc>
        <w:tc>
          <w:tcPr>
            <w:tcW w:w="20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0.13</w:t>
            </w:r>
          </w:p>
        </w:tc>
        <w:tc>
          <w:tcPr>
            <w:tcW w:w="20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0.25</w:t>
            </w:r>
          </w:p>
        </w:tc>
        <w:tc>
          <w:tcPr>
            <w:tcW w:w="20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0.25</w:t>
            </w:r>
          </w:p>
        </w:tc>
        <w:tc>
          <w:tcPr>
            <w:tcW w:w="20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0.32</w:t>
            </w:r>
          </w:p>
        </w:tc>
        <w:tc>
          <w:tcPr>
            <w:tcW w:w="19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0.21</w:t>
            </w: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jc w:val="center"/>
        </w:trPr>
        <w:tc>
          <w:tcPr>
            <w:tcW w:w="52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(</w:t>
            </w:r>
            <w:r>
              <w:rPr>
                <w:rFonts w:eastAsia="Times New Roman" w:cs="Palatino Linotype"/>
                <w:i/>
                <w:iCs/>
                <w:sz w:val="18"/>
                <w:szCs w:val="11"/>
              </w:rPr>
              <w:t>Z</w:t>
            </w:r>
            <w:r>
              <w:rPr>
                <w:rFonts w:eastAsia="Times New Roman" w:cs="Palatino Linotype"/>
                <w:sz w:val="18"/>
                <w:szCs w:val="11"/>
              </w:rPr>
              <w:t>)-ene-yne-Dicycloether</w:t>
            </w:r>
          </w:p>
        </w:tc>
        <w:tc>
          <w:tcPr>
            <w:tcW w:w="189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31.00</w:t>
            </w:r>
          </w:p>
        </w:tc>
        <w:tc>
          <w:tcPr>
            <w:tcW w:w="18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1855</w:t>
            </w:r>
          </w:p>
        </w:tc>
        <w:tc>
          <w:tcPr>
            <w:tcW w:w="178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1849</w:t>
            </w: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4575-53-5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0.07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0.08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0.08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0.06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0.12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0.06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0.07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0.08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0.16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0.09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0.07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0.07</w:t>
            </w:r>
          </w:p>
        </w:tc>
        <w:tc>
          <w:tcPr>
            <w:tcW w:w="20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0.05</w:t>
            </w:r>
          </w:p>
        </w:tc>
        <w:tc>
          <w:tcPr>
            <w:tcW w:w="20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0.02</w:t>
            </w:r>
          </w:p>
        </w:tc>
        <w:tc>
          <w:tcPr>
            <w:tcW w:w="20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0.08</w:t>
            </w:r>
          </w:p>
        </w:tc>
        <w:tc>
          <w:tcPr>
            <w:tcW w:w="20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0.00</w:t>
            </w:r>
          </w:p>
        </w:tc>
        <w:tc>
          <w:tcPr>
            <w:tcW w:w="20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0.00</w:t>
            </w:r>
          </w:p>
        </w:tc>
        <w:tc>
          <w:tcPr>
            <w:tcW w:w="19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0.00</w:t>
            </w: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jc w:val="center"/>
        </w:trPr>
        <w:tc>
          <w:tcPr>
            <w:tcW w:w="52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(</w:t>
            </w:r>
            <w:r>
              <w:rPr>
                <w:rFonts w:eastAsia="Times New Roman" w:cs="Palatino Linotype"/>
                <w:i/>
                <w:iCs/>
                <w:sz w:val="18"/>
                <w:szCs w:val="11"/>
              </w:rPr>
              <w:t>Z</w:t>
            </w:r>
            <w:r>
              <w:rPr>
                <w:rFonts w:eastAsia="Times New Roman" w:cs="Palatino Linotype"/>
                <w:sz w:val="18"/>
                <w:szCs w:val="11"/>
              </w:rPr>
              <w:t>)-18-Octadec-9-enolide</w:t>
            </w:r>
          </w:p>
        </w:tc>
        <w:tc>
          <w:tcPr>
            <w:tcW w:w="189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36.47</w:t>
            </w:r>
          </w:p>
        </w:tc>
        <w:tc>
          <w:tcPr>
            <w:tcW w:w="18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2157</w:t>
            </w:r>
          </w:p>
        </w:tc>
        <w:tc>
          <w:tcPr>
            <w:tcW w:w="178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2158</w:t>
            </w: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74992-69-1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0.04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0.04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0.00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0.00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0.03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0.00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0.00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0.00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0.00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0.00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0.05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0.05</w:t>
            </w:r>
          </w:p>
        </w:tc>
        <w:tc>
          <w:tcPr>
            <w:tcW w:w="20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0.07</w:t>
            </w:r>
          </w:p>
        </w:tc>
        <w:tc>
          <w:tcPr>
            <w:tcW w:w="20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0.05</w:t>
            </w:r>
          </w:p>
        </w:tc>
        <w:tc>
          <w:tcPr>
            <w:tcW w:w="20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0.06</w:t>
            </w:r>
          </w:p>
        </w:tc>
        <w:tc>
          <w:tcPr>
            <w:tcW w:w="20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0.12</w:t>
            </w:r>
          </w:p>
        </w:tc>
        <w:tc>
          <w:tcPr>
            <w:tcW w:w="20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0.15</w:t>
            </w:r>
          </w:p>
        </w:tc>
        <w:tc>
          <w:tcPr>
            <w:tcW w:w="19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0.10</w:t>
            </w: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jc w:val="center"/>
        </w:trPr>
        <w:tc>
          <w:tcPr>
            <w:tcW w:w="52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Heptacosane</w:t>
            </w:r>
          </w:p>
        </w:tc>
        <w:tc>
          <w:tcPr>
            <w:tcW w:w="189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42.29</w:t>
            </w:r>
          </w:p>
        </w:tc>
        <w:tc>
          <w:tcPr>
            <w:tcW w:w="18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2502</w:t>
            </w:r>
          </w:p>
        </w:tc>
        <w:tc>
          <w:tcPr>
            <w:tcW w:w="178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2500</w:t>
            </w:r>
          </w:p>
        </w:tc>
        <w:tc>
          <w:tcPr>
            <w:tcW w:w="300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593-49-7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0.07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0.07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0.08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0.07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0.07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0.07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0.08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0.07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0.10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0.05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0.14</w:t>
            </w:r>
          </w:p>
        </w:tc>
        <w:tc>
          <w:tcPr>
            <w:tcW w:w="201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0.14</w:t>
            </w:r>
          </w:p>
        </w:tc>
        <w:tc>
          <w:tcPr>
            <w:tcW w:w="20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0.20</w:t>
            </w:r>
          </w:p>
        </w:tc>
        <w:tc>
          <w:tcPr>
            <w:tcW w:w="20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0.16</w:t>
            </w:r>
          </w:p>
        </w:tc>
        <w:tc>
          <w:tcPr>
            <w:tcW w:w="20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0.14</w:t>
            </w:r>
          </w:p>
        </w:tc>
        <w:tc>
          <w:tcPr>
            <w:tcW w:w="20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0.10</w:t>
            </w:r>
          </w:p>
        </w:tc>
        <w:tc>
          <w:tcPr>
            <w:tcW w:w="202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0.03</w:t>
            </w:r>
          </w:p>
        </w:tc>
        <w:tc>
          <w:tcPr>
            <w:tcW w:w="197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0.06</w:t>
            </w: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jc w:val="center"/>
        </w:trPr>
        <w:tc>
          <w:tcPr>
            <w:tcW w:w="527" w:type="pct"/>
            <w:tcBorders>
              <w:top w:val="nil"/>
              <w:left w:val="nil"/>
              <w:bottom w:val="single" w:color="auto" w:sz="8" w:space="0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Essential oil (%)</w:t>
            </w:r>
          </w:p>
        </w:tc>
        <w:tc>
          <w:tcPr>
            <w:tcW w:w="189" w:type="pct"/>
            <w:tcBorders>
              <w:top w:val="nil"/>
              <w:left w:val="nil"/>
              <w:bottom w:val="single" w:color="auto" w:sz="8" w:space="0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</w:p>
        </w:tc>
        <w:tc>
          <w:tcPr>
            <w:tcW w:w="185" w:type="pct"/>
            <w:tcBorders>
              <w:top w:val="nil"/>
              <w:left w:val="nil"/>
              <w:bottom w:val="single" w:color="auto" w:sz="8" w:space="0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</w:p>
        </w:tc>
        <w:tc>
          <w:tcPr>
            <w:tcW w:w="178" w:type="pct"/>
            <w:tcBorders>
              <w:top w:val="nil"/>
              <w:left w:val="nil"/>
              <w:bottom w:val="single" w:color="auto" w:sz="8" w:space="0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</w:p>
        </w:tc>
        <w:tc>
          <w:tcPr>
            <w:tcW w:w="300" w:type="pct"/>
            <w:tcBorders>
              <w:top w:val="nil"/>
              <w:left w:val="nil"/>
              <w:bottom w:val="single" w:color="auto" w:sz="8" w:space="0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</w:p>
        </w:tc>
        <w:tc>
          <w:tcPr>
            <w:tcW w:w="201" w:type="pct"/>
            <w:tcBorders>
              <w:top w:val="nil"/>
              <w:left w:val="nil"/>
              <w:bottom w:val="single" w:color="auto" w:sz="8" w:space="0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0.75%</w:t>
            </w:r>
          </w:p>
        </w:tc>
        <w:tc>
          <w:tcPr>
            <w:tcW w:w="201" w:type="pct"/>
            <w:tcBorders>
              <w:top w:val="nil"/>
              <w:left w:val="nil"/>
              <w:bottom w:val="single" w:color="auto" w:sz="8" w:space="0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0.90%</w:t>
            </w:r>
          </w:p>
        </w:tc>
        <w:tc>
          <w:tcPr>
            <w:tcW w:w="201" w:type="pct"/>
            <w:tcBorders>
              <w:top w:val="nil"/>
              <w:left w:val="nil"/>
              <w:bottom w:val="single" w:color="auto" w:sz="8" w:space="0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1.00%</w:t>
            </w:r>
          </w:p>
        </w:tc>
        <w:tc>
          <w:tcPr>
            <w:tcW w:w="201" w:type="pct"/>
            <w:tcBorders>
              <w:top w:val="nil"/>
              <w:left w:val="nil"/>
              <w:bottom w:val="single" w:color="auto" w:sz="8" w:space="0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0.77%</w:t>
            </w:r>
          </w:p>
        </w:tc>
        <w:tc>
          <w:tcPr>
            <w:tcW w:w="201" w:type="pct"/>
            <w:tcBorders>
              <w:top w:val="nil"/>
              <w:left w:val="nil"/>
              <w:bottom w:val="single" w:color="auto" w:sz="8" w:space="0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0.92%</w:t>
            </w:r>
          </w:p>
        </w:tc>
        <w:tc>
          <w:tcPr>
            <w:tcW w:w="201" w:type="pct"/>
            <w:tcBorders>
              <w:top w:val="nil"/>
              <w:left w:val="nil"/>
              <w:bottom w:val="single" w:color="auto" w:sz="8" w:space="0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0.91%</w:t>
            </w:r>
          </w:p>
        </w:tc>
        <w:tc>
          <w:tcPr>
            <w:tcW w:w="201" w:type="pct"/>
            <w:tcBorders>
              <w:top w:val="nil"/>
              <w:left w:val="nil"/>
              <w:bottom w:val="single" w:color="auto" w:sz="8" w:space="0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1.20%</w:t>
            </w:r>
          </w:p>
        </w:tc>
        <w:tc>
          <w:tcPr>
            <w:tcW w:w="201" w:type="pct"/>
            <w:tcBorders>
              <w:top w:val="nil"/>
              <w:left w:val="nil"/>
              <w:bottom w:val="single" w:color="auto" w:sz="8" w:space="0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1.10%</w:t>
            </w:r>
          </w:p>
        </w:tc>
        <w:tc>
          <w:tcPr>
            <w:tcW w:w="201" w:type="pct"/>
            <w:tcBorders>
              <w:top w:val="nil"/>
              <w:left w:val="nil"/>
              <w:bottom w:val="single" w:color="auto" w:sz="8" w:space="0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0.86%</w:t>
            </w:r>
          </w:p>
        </w:tc>
        <w:tc>
          <w:tcPr>
            <w:tcW w:w="201" w:type="pct"/>
            <w:tcBorders>
              <w:top w:val="nil"/>
              <w:left w:val="nil"/>
              <w:bottom w:val="single" w:color="auto" w:sz="8" w:space="0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1.00%</w:t>
            </w:r>
          </w:p>
        </w:tc>
        <w:tc>
          <w:tcPr>
            <w:tcW w:w="201" w:type="pct"/>
            <w:tcBorders>
              <w:top w:val="nil"/>
              <w:left w:val="nil"/>
              <w:bottom w:val="single" w:color="auto" w:sz="8" w:space="0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0.63%</w:t>
            </w:r>
          </w:p>
        </w:tc>
        <w:tc>
          <w:tcPr>
            <w:tcW w:w="201" w:type="pct"/>
            <w:tcBorders>
              <w:top w:val="nil"/>
              <w:left w:val="nil"/>
              <w:bottom w:val="single" w:color="auto" w:sz="8" w:space="0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0.55%</w:t>
            </w:r>
          </w:p>
        </w:tc>
        <w:tc>
          <w:tcPr>
            <w:tcW w:w="202" w:type="pct"/>
            <w:tcBorders>
              <w:top w:val="nil"/>
              <w:left w:val="nil"/>
              <w:bottom w:val="single" w:color="auto" w:sz="8" w:space="0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0.52%</w:t>
            </w:r>
          </w:p>
        </w:tc>
        <w:tc>
          <w:tcPr>
            <w:tcW w:w="202" w:type="pct"/>
            <w:tcBorders>
              <w:top w:val="nil"/>
              <w:left w:val="nil"/>
              <w:bottom w:val="single" w:color="auto" w:sz="8" w:space="0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0.44%</w:t>
            </w:r>
          </w:p>
        </w:tc>
        <w:tc>
          <w:tcPr>
            <w:tcW w:w="202" w:type="pct"/>
            <w:tcBorders>
              <w:top w:val="nil"/>
              <w:left w:val="nil"/>
              <w:bottom w:val="single" w:color="auto" w:sz="8" w:space="0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0.43%</w:t>
            </w:r>
          </w:p>
        </w:tc>
        <w:tc>
          <w:tcPr>
            <w:tcW w:w="202" w:type="pct"/>
            <w:tcBorders>
              <w:top w:val="nil"/>
              <w:left w:val="nil"/>
              <w:bottom w:val="single" w:color="auto" w:sz="8" w:space="0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0.66%</w:t>
            </w:r>
          </w:p>
        </w:tc>
        <w:tc>
          <w:tcPr>
            <w:tcW w:w="202" w:type="pct"/>
            <w:tcBorders>
              <w:top w:val="nil"/>
              <w:left w:val="nil"/>
              <w:bottom w:val="single" w:color="auto" w:sz="8" w:space="0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1.05%</w:t>
            </w:r>
          </w:p>
        </w:tc>
        <w:tc>
          <w:tcPr>
            <w:tcW w:w="197" w:type="pct"/>
            <w:tcBorders>
              <w:top w:val="nil"/>
              <w:left w:val="nil"/>
              <w:bottom w:val="single" w:color="auto" w:sz="8" w:space="0"/>
              <w:right w:val="nil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Palatino Linotype"/>
                <w:sz w:val="18"/>
                <w:szCs w:val="11"/>
              </w:rPr>
            </w:pPr>
            <w:r>
              <w:rPr>
                <w:rFonts w:eastAsia="Times New Roman" w:cs="Palatino Linotype"/>
                <w:sz w:val="18"/>
                <w:szCs w:val="11"/>
              </w:rPr>
              <w:t>0.93%</w:t>
            </w:r>
          </w:p>
        </w:tc>
      </w:tr>
    </w:tbl>
    <w:p>
      <w:pPr>
        <w:pStyle w:val="33"/>
        <w:ind w:left="0" w:leftChars="0" w:firstLine="0" w:firstLineChars="0"/>
        <w:rPr>
          <w:rFonts w:hint="eastAsia" w:ascii="Palatino Linotype" w:hAnsi="Palatino Linotype" w:eastAsia="Times New Roman" w:cs="Times New Roman"/>
          <w:snapToGrid w:val="0"/>
          <w:color w:val="000000"/>
          <w:sz w:val="18"/>
          <w:szCs w:val="18"/>
          <w:lang w:val="en-US" w:eastAsia="de-DE" w:bidi="en-US"/>
        </w:rPr>
      </w:pPr>
      <w:r>
        <w:rPr>
          <w:rFonts w:hint="eastAsia" w:ascii="Palatino Linotype" w:hAnsi="Palatino Linotype" w:eastAsia="宋体" w:cs="Times New Roman"/>
          <w:snapToGrid w:val="0"/>
          <w:color w:val="000000"/>
          <w:sz w:val="18"/>
          <w:szCs w:val="18"/>
          <w:vertAlign w:val="superscript"/>
          <w:lang w:val="en-US" w:eastAsia="zh-CN" w:bidi="en-US"/>
        </w:rPr>
        <w:t>2</w:t>
      </w:r>
      <w:r>
        <w:rPr>
          <w:rFonts w:hint="eastAsia" w:ascii="Palatino Linotype" w:hAnsi="Palatino Linotype" w:eastAsia="Times New Roman" w:cs="Times New Roman"/>
          <w:snapToGrid w:val="0"/>
          <w:color w:val="000000"/>
          <w:sz w:val="18"/>
          <w:szCs w:val="18"/>
          <w:lang w:val="en-US" w:eastAsia="de-DE" w:bidi="en-US"/>
        </w:rPr>
        <w:t xml:space="preserve"> RT: relative retention time in GC-MS; RI-m: the actual retention index calculated by n-alkanes; RI-r: the theoretical retention index in the NIST 14 library; CAS: Chemical Abstracts Service registry number; S1~S18: the content of each sample compared with the internal standard(μg/mL).</w:t>
      </w:r>
    </w:p>
    <w:p>
      <w:pPr>
        <w:pStyle w:val="33"/>
        <w:ind w:left="0" w:leftChars="0" w:firstLine="0" w:firstLineChars="0"/>
        <w:rPr>
          <w:rFonts w:hint="eastAsia" w:ascii="Palatino Linotype" w:hAnsi="Palatino Linotype" w:eastAsia="Times New Roman" w:cs="Times New Roman"/>
          <w:snapToGrid w:val="0"/>
          <w:color w:val="000000"/>
          <w:sz w:val="18"/>
          <w:szCs w:val="18"/>
          <w:lang w:val="en-US" w:eastAsia="de-DE" w:bidi="en-US"/>
        </w:rPr>
      </w:pPr>
    </w:p>
    <w:p>
      <w:pPr>
        <w:pStyle w:val="33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ind w:left="0" w:leftChars="0" w:firstLine="0" w:firstLineChars="0"/>
        <w:jc w:val="center"/>
        <w:textAlignment w:val="auto"/>
        <w:rPr>
          <w:rFonts w:hint="eastAsia" w:eastAsia="宋体"/>
          <w:lang w:val="en-US" w:eastAsia="zh-CN"/>
        </w:rPr>
      </w:pPr>
      <w:r>
        <w:rPr>
          <w:rFonts w:hint="eastAsia" w:ascii="Palatino Linotype" w:hAnsi="Palatino Linotype" w:eastAsia="Times New Roman" w:cs="Times New Roman"/>
          <w:b/>
          <w:snapToGrid w:val="0"/>
          <w:color w:val="000000"/>
          <w:sz w:val="20"/>
          <w:szCs w:val="22"/>
          <w:lang w:val="en-US" w:eastAsia="de-DE" w:bidi="en-US"/>
        </w:rPr>
        <w:t>Table S</w:t>
      </w:r>
      <w:r>
        <w:rPr>
          <w:rFonts w:hint="eastAsia" w:eastAsia="宋体" w:cs="Times New Roman"/>
          <w:b/>
          <w:snapToGrid w:val="0"/>
          <w:color w:val="000000"/>
          <w:sz w:val="20"/>
          <w:szCs w:val="22"/>
          <w:lang w:val="en-US" w:eastAsia="zh-CN" w:bidi="en-US"/>
        </w:rPr>
        <w:t>3</w:t>
      </w:r>
    </w:p>
    <w:p>
      <w:pPr>
        <w:pStyle w:val="33"/>
        <w:ind w:left="0" w:leftChars="0" w:firstLine="0" w:firstLineChars="0"/>
        <w:jc w:val="center"/>
        <w:rPr>
          <w:rFonts w:hint="eastAsia"/>
          <w:sz w:val="18"/>
          <w:szCs w:val="18"/>
        </w:rPr>
      </w:pPr>
      <w:r>
        <w:rPr>
          <w:rFonts w:hint="eastAsia"/>
          <w:sz w:val="18"/>
          <w:szCs w:val="18"/>
        </w:rPr>
        <w:t>Electronic nose raw data.</w:t>
      </w:r>
    </w:p>
    <w:tbl>
      <w:tblPr>
        <w:tblStyle w:val="11"/>
        <w:tblW w:w="4998" w:type="pct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shd w:val="clear" w:color="auto" w:fill="auto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154"/>
        <w:gridCol w:w="902"/>
        <w:gridCol w:w="902"/>
        <w:gridCol w:w="1003"/>
        <w:gridCol w:w="902"/>
        <w:gridCol w:w="902"/>
        <w:gridCol w:w="1003"/>
        <w:gridCol w:w="1003"/>
        <w:gridCol w:w="1005"/>
        <w:gridCol w:w="902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008" w:type="pct"/>
            <w:tcBorders>
              <w:top w:val="single" w:color="auto" w:sz="12" w:space="0"/>
              <w:left w:val="nil"/>
              <w:bottom w:val="single" w:color="auto" w:sz="12" w:space="0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ID</w:t>
            </w:r>
          </w:p>
        </w:tc>
        <w:tc>
          <w:tcPr>
            <w:tcW w:w="422" w:type="pct"/>
            <w:tcBorders>
              <w:top w:val="single" w:color="auto" w:sz="12" w:space="0"/>
              <w:left w:val="nil"/>
              <w:bottom w:val="single" w:color="auto" w:sz="12" w:space="0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S1</w:t>
            </w:r>
          </w:p>
        </w:tc>
        <w:tc>
          <w:tcPr>
            <w:tcW w:w="422" w:type="pct"/>
            <w:tcBorders>
              <w:top w:val="single" w:color="auto" w:sz="12" w:space="0"/>
              <w:left w:val="nil"/>
              <w:bottom w:val="single" w:color="auto" w:sz="12" w:space="0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S2</w:t>
            </w:r>
          </w:p>
        </w:tc>
        <w:tc>
          <w:tcPr>
            <w:tcW w:w="469" w:type="pct"/>
            <w:tcBorders>
              <w:top w:val="single" w:color="auto" w:sz="12" w:space="0"/>
              <w:left w:val="nil"/>
              <w:bottom w:val="single" w:color="auto" w:sz="12" w:space="0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S3</w:t>
            </w:r>
          </w:p>
        </w:tc>
        <w:tc>
          <w:tcPr>
            <w:tcW w:w="422" w:type="pct"/>
            <w:tcBorders>
              <w:top w:val="single" w:color="auto" w:sz="12" w:space="0"/>
              <w:left w:val="nil"/>
              <w:bottom w:val="single" w:color="auto" w:sz="12" w:space="0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S4</w:t>
            </w:r>
          </w:p>
        </w:tc>
        <w:tc>
          <w:tcPr>
            <w:tcW w:w="422" w:type="pct"/>
            <w:tcBorders>
              <w:top w:val="single" w:color="auto" w:sz="12" w:space="0"/>
              <w:left w:val="nil"/>
              <w:bottom w:val="single" w:color="auto" w:sz="12" w:space="0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S5</w:t>
            </w:r>
          </w:p>
        </w:tc>
        <w:tc>
          <w:tcPr>
            <w:tcW w:w="469" w:type="pct"/>
            <w:tcBorders>
              <w:top w:val="single" w:color="auto" w:sz="12" w:space="0"/>
              <w:left w:val="nil"/>
              <w:bottom w:val="single" w:color="auto" w:sz="12" w:space="0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S6</w:t>
            </w:r>
          </w:p>
        </w:tc>
        <w:tc>
          <w:tcPr>
            <w:tcW w:w="469" w:type="pct"/>
            <w:tcBorders>
              <w:top w:val="single" w:color="auto" w:sz="12" w:space="0"/>
              <w:left w:val="nil"/>
              <w:bottom w:val="single" w:color="auto" w:sz="12" w:space="0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S7</w:t>
            </w:r>
          </w:p>
        </w:tc>
        <w:tc>
          <w:tcPr>
            <w:tcW w:w="470" w:type="pct"/>
            <w:tcBorders>
              <w:top w:val="single" w:color="auto" w:sz="12" w:space="0"/>
              <w:left w:val="nil"/>
              <w:bottom w:val="single" w:color="auto" w:sz="12" w:space="0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S8</w:t>
            </w:r>
          </w:p>
        </w:tc>
        <w:tc>
          <w:tcPr>
            <w:tcW w:w="422" w:type="pct"/>
            <w:tcBorders>
              <w:top w:val="single" w:color="auto" w:sz="12" w:space="0"/>
              <w:left w:val="nil"/>
              <w:bottom w:val="single" w:color="auto" w:sz="12" w:space="0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S9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008" w:type="pct"/>
            <w:tcBorders>
              <w:top w:val="single" w:color="auto" w:sz="12" w:space="0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2-Butene</w:t>
            </w:r>
          </w:p>
        </w:tc>
        <w:tc>
          <w:tcPr>
            <w:tcW w:w="422" w:type="pct"/>
            <w:tcBorders>
              <w:top w:val="single" w:color="auto" w:sz="12" w:space="0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759.73</w:t>
            </w:r>
          </w:p>
        </w:tc>
        <w:tc>
          <w:tcPr>
            <w:tcW w:w="422" w:type="pct"/>
            <w:tcBorders>
              <w:top w:val="single" w:color="auto" w:sz="12" w:space="0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65103.63</w:t>
            </w:r>
          </w:p>
        </w:tc>
        <w:tc>
          <w:tcPr>
            <w:tcW w:w="469" w:type="pct"/>
            <w:tcBorders>
              <w:top w:val="single" w:color="auto" w:sz="12" w:space="0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1926.23</w:t>
            </w:r>
          </w:p>
        </w:tc>
        <w:tc>
          <w:tcPr>
            <w:tcW w:w="422" w:type="pct"/>
            <w:tcBorders>
              <w:top w:val="single" w:color="auto" w:sz="12" w:space="0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913.93</w:t>
            </w:r>
          </w:p>
        </w:tc>
        <w:tc>
          <w:tcPr>
            <w:tcW w:w="422" w:type="pct"/>
            <w:tcBorders>
              <w:top w:val="single" w:color="auto" w:sz="12" w:space="0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1101.27</w:t>
            </w:r>
          </w:p>
        </w:tc>
        <w:tc>
          <w:tcPr>
            <w:tcW w:w="469" w:type="pct"/>
            <w:tcBorders>
              <w:top w:val="single" w:color="auto" w:sz="12" w:space="0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1098.17</w:t>
            </w:r>
          </w:p>
        </w:tc>
        <w:tc>
          <w:tcPr>
            <w:tcW w:w="469" w:type="pct"/>
            <w:tcBorders>
              <w:top w:val="single" w:color="auto" w:sz="12" w:space="0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17751.00</w:t>
            </w:r>
          </w:p>
        </w:tc>
        <w:tc>
          <w:tcPr>
            <w:tcW w:w="470" w:type="pct"/>
            <w:tcBorders>
              <w:top w:val="single" w:color="auto" w:sz="12" w:space="0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1334.97</w:t>
            </w:r>
          </w:p>
        </w:tc>
        <w:tc>
          <w:tcPr>
            <w:tcW w:w="422" w:type="pct"/>
            <w:tcBorders>
              <w:top w:val="single" w:color="auto" w:sz="12" w:space="0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22260.40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0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Propenal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1874.43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2095.53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1734.67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2144.97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3113.40</w:t>
            </w:r>
          </w:p>
        </w:tc>
        <w:tc>
          <w:tcPr>
            <w:tcW w:w="4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1542.33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2181.33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0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Ethanol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1331.93</w:t>
            </w:r>
          </w:p>
        </w:tc>
        <w:tc>
          <w:tcPr>
            <w:tcW w:w="4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1345.47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1215.23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0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1-Propanol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1812.70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1086.30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1039.83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0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Hexane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1413.77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1442.03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1842.60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1701.47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2573.47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1375.23</w:t>
            </w:r>
          </w:p>
        </w:tc>
        <w:tc>
          <w:tcPr>
            <w:tcW w:w="4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2227.33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1316.00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0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Methylcyclopentane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1101.57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1025.63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1141.00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1544.90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1630.97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1506.77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0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Ethylbutyrate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1288.90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1442.63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2349.67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1655.70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2217.40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2232.27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1999.20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2163.43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0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(Z)-3-hexenal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0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Butanoicacid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39825.90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36090.40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64121.77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47016.93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52171.73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63605.33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30753.70</w:t>
            </w:r>
          </w:p>
        </w:tc>
        <w:tc>
          <w:tcPr>
            <w:tcW w:w="4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85530.10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87087.07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0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Pentanoicacid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1541.80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2946.93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2015.40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1996.03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3305.83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3454.83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1886.03</w:t>
            </w:r>
          </w:p>
        </w:tc>
        <w:tc>
          <w:tcPr>
            <w:tcW w:w="4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3532.13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3321.63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0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α-pinene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3964.10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12011.33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5066.50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9059.00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11462.07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6641.10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12468.67</w:t>
            </w:r>
          </w:p>
        </w:tc>
        <w:tc>
          <w:tcPr>
            <w:tcW w:w="4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16600.90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12740.53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0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5-Methylfurfural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10386.57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10242.27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16823.20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10652.50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12929.70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14065.03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9431.53</w:t>
            </w:r>
          </w:p>
        </w:tc>
        <w:tc>
          <w:tcPr>
            <w:tcW w:w="4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18276.87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17622.17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0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β-Pinene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2825.27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3759.80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0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Myrcene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1411.57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0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Octanal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5071.87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5695.73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8308.40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3830.50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4472.23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4511.77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5300.87</w:t>
            </w:r>
          </w:p>
        </w:tc>
        <w:tc>
          <w:tcPr>
            <w:tcW w:w="4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8600.37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6826.03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0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α-Phellandrene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4068.90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2417.53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2901.03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3362.17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3352.40</w:t>
            </w:r>
          </w:p>
        </w:tc>
        <w:tc>
          <w:tcPr>
            <w:tcW w:w="4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4638.93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3901.97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0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Norfuraneol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13087.60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29475.40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26534.43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12418.77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15652.10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19603.53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14096.07</w:t>
            </w:r>
          </w:p>
        </w:tc>
        <w:tc>
          <w:tcPr>
            <w:tcW w:w="4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23196.83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22225.17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0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γ-Terpinene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3934.27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15148.43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6726.33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12691.27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19262.80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11272.73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22346.10</w:t>
            </w:r>
          </w:p>
        </w:tc>
        <w:tc>
          <w:tcPr>
            <w:tcW w:w="4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30543.47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21975.97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0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3-Nonanone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19686.63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53662.37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31473.97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44372.27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54650.00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58637.87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58901.03</w:t>
            </w:r>
          </w:p>
        </w:tc>
        <w:tc>
          <w:tcPr>
            <w:tcW w:w="4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81433.23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75145.13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0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p-Cymenene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1686.13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4190.17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2799.60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3223.77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4061.13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4378.00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5590.67</w:t>
            </w:r>
          </w:p>
        </w:tc>
        <w:tc>
          <w:tcPr>
            <w:tcW w:w="4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7329.37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5053.70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0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n-nonanal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1560.13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1899.97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2609.00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1967.13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1848.50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2787.47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2879.03</w:t>
            </w:r>
          </w:p>
        </w:tc>
        <w:tc>
          <w:tcPr>
            <w:tcW w:w="4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4546.57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2688.83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0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1,3,8para-Menthatriene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1088.83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1237.03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2007.83</w:t>
            </w:r>
          </w:p>
        </w:tc>
        <w:tc>
          <w:tcPr>
            <w:tcW w:w="4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2998.63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1786.87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0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camphor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974.83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1373.33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1576.70</w:t>
            </w:r>
          </w:p>
        </w:tc>
        <w:tc>
          <w:tcPr>
            <w:tcW w:w="4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2549.07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1742.67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0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Cymen-8-ol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1108.40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1104.30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0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2,6-dimethoxy-phenol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1438.27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1109.00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1981.37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0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trans-Carveol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1761.77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0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(Z)-3-Hexenylhexanoate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1431.77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1001.40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2276.87</w:t>
            </w:r>
          </w:p>
        </w:tc>
        <w:tc>
          <w:tcPr>
            <w:tcW w:w="4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3302.57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0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N-hexyl-hexanoate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1064.13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885.43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1270.37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0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(E)-Cinnamicacid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1596.70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1066.33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1034.03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0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Geosmin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55573.73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60881.90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112647.80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53439.87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89852.30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112605.77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114816.70</w:t>
            </w:r>
          </w:p>
        </w:tc>
        <w:tc>
          <w:tcPr>
            <w:tcW w:w="4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129848.17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40686.50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0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β-Caryophyllene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3165.20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1211.83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3023.50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2076.07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3725.37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4616.73</w:t>
            </w:r>
          </w:p>
        </w:tc>
        <w:tc>
          <w:tcPr>
            <w:tcW w:w="4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5347.63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1834.57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0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α-Selinene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1076.03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1023.40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920.90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1422.33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1468.30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1794.07</w:t>
            </w:r>
          </w:p>
        </w:tc>
        <w:tc>
          <w:tcPr>
            <w:tcW w:w="4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2091.00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976.57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0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Methyldodecanoate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1141.80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1871.83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1953.47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2264.87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2651.07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3926.50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3601.00</w:t>
            </w:r>
          </w:p>
        </w:tc>
        <w:tc>
          <w:tcPr>
            <w:tcW w:w="4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5437.80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1375.33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0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8-methylpentadecane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1386.10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3178.50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1246.83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1850.03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2136.53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3247.63</w:t>
            </w:r>
          </w:p>
        </w:tc>
        <w:tc>
          <w:tcPr>
            <w:tcW w:w="4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4391.73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1331.03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0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Rheosmin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1580.07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1732.53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1565.50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2461.57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2460.23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3832.57</w:t>
            </w:r>
          </w:p>
        </w:tc>
        <w:tc>
          <w:tcPr>
            <w:tcW w:w="4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5646.20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1310.87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0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1-Tridecanol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1235.83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1502.37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1177.00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1655.07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1926.73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2619.20</w:t>
            </w:r>
          </w:p>
        </w:tc>
        <w:tc>
          <w:tcPr>
            <w:tcW w:w="4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3772.20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1025.37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0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Tetradecanal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1214.87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1275.77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2401.50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1869.07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2514.83</w:t>
            </w:r>
          </w:p>
        </w:tc>
        <w:tc>
          <w:tcPr>
            <w:tcW w:w="4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2116.43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1598.35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0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2-Pentadecanone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2512.53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2492.53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3742.90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1322.43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9398.00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5122.23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8470.77</w:t>
            </w:r>
          </w:p>
        </w:tc>
        <w:tc>
          <w:tcPr>
            <w:tcW w:w="4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7775.10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8841.70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0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Methyltetradecanoate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2041.27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2530.77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2690.80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2151.07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4356.57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4535.70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7265.13</w:t>
            </w:r>
          </w:p>
        </w:tc>
        <w:tc>
          <w:tcPr>
            <w:tcW w:w="4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5108.70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6779.10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008" w:type="pct"/>
            <w:tcBorders>
              <w:top w:val="nil"/>
              <w:left w:val="nil"/>
              <w:bottom w:val="single" w:color="auto" w:sz="12" w:space="0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Tetradecylacetate</w:t>
            </w:r>
          </w:p>
        </w:tc>
        <w:tc>
          <w:tcPr>
            <w:tcW w:w="422" w:type="pct"/>
            <w:tcBorders>
              <w:top w:val="nil"/>
              <w:left w:val="nil"/>
              <w:bottom w:val="single" w:color="auto" w:sz="12" w:space="0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2114.10</w:t>
            </w:r>
          </w:p>
        </w:tc>
        <w:tc>
          <w:tcPr>
            <w:tcW w:w="422" w:type="pct"/>
            <w:tcBorders>
              <w:top w:val="nil"/>
              <w:left w:val="nil"/>
              <w:bottom w:val="single" w:color="auto" w:sz="12" w:space="0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69" w:type="pct"/>
            <w:tcBorders>
              <w:top w:val="nil"/>
              <w:left w:val="nil"/>
              <w:bottom w:val="single" w:color="auto" w:sz="12" w:space="0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3467.87</w:t>
            </w:r>
          </w:p>
        </w:tc>
        <w:tc>
          <w:tcPr>
            <w:tcW w:w="422" w:type="pct"/>
            <w:tcBorders>
              <w:top w:val="nil"/>
              <w:left w:val="nil"/>
              <w:bottom w:val="single" w:color="auto" w:sz="12" w:space="0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single" w:color="auto" w:sz="12" w:space="0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1709.83</w:t>
            </w:r>
          </w:p>
        </w:tc>
        <w:tc>
          <w:tcPr>
            <w:tcW w:w="469" w:type="pct"/>
            <w:tcBorders>
              <w:top w:val="nil"/>
              <w:left w:val="nil"/>
              <w:bottom w:val="single" w:color="auto" w:sz="12" w:space="0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69" w:type="pct"/>
            <w:tcBorders>
              <w:top w:val="nil"/>
              <w:left w:val="nil"/>
              <w:bottom w:val="single" w:color="auto" w:sz="12" w:space="0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2113.90</w:t>
            </w:r>
          </w:p>
        </w:tc>
        <w:tc>
          <w:tcPr>
            <w:tcW w:w="470" w:type="pct"/>
            <w:tcBorders>
              <w:top w:val="nil"/>
              <w:left w:val="nil"/>
              <w:bottom w:val="single" w:color="auto" w:sz="12" w:space="0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single" w:color="auto" w:sz="12" w:space="0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008" w:type="pct"/>
            <w:tcBorders>
              <w:top w:val="single" w:color="auto" w:sz="12" w:space="0"/>
              <w:left w:val="nil"/>
              <w:bottom w:val="single" w:color="auto" w:sz="12" w:space="0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ID</w:t>
            </w:r>
          </w:p>
        </w:tc>
        <w:tc>
          <w:tcPr>
            <w:tcW w:w="422" w:type="pct"/>
            <w:tcBorders>
              <w:top w:val="single" w:color="auto" w:sz="12" w:space="0"/>
              <w:left w:val="nil"/>
              <w:bottom w:val="single" w:color="auto" w:sz="12" w:space="0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S10</w:t>
            </w:r>
          </w:p>
        </w:tc>
        <w:tc>
          <w:tcPr>
            <w:tcW w:w="422" w:type="pct"/>
            <w:tcBorders>
              <w:top w:val="single" w:color="auto" w:sz="12" w:space="0"/>
              <w:left w:val="nil"/>
              <w:bottom w:val="single" w:color="auto" w:sz="12" w:space="0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S11</w:t>
            </w:r>
          </w:p>
        </w:tc>
        <w:tc>
          <w:tcPr>
            <w:tcW w:w="469" w:type="pct"/>
            <w:tcBorders>
              <w:top w:val="single" w:color="auto" w:sz="12" w:space="0"/>
              <w:left w:val="nil"/>
              <w:bottom w:val="single" w:color="auto" w:sz="12" w:space="0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S12</w:t>
            </w:r>
          </w:p>
        </w:tc>
        <w:tc>
          <w:tcPr>
            <w:tcW w:w="422" w:type="pct"/>
            <w:tcBorders>
              <w:top w:val="single" w:color="auto" w:sz="12" w:space="0"/>
              <w:left w:val="nil"/>
              <w:bottom w:val="single" w:color="auto" w:sz="12" w:space="0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S13</w:t>
            </w:r>
          </w:p>
        </w:tc>
        <w:tc>
          <w:tcPr>
            <w:tcW w:w="422" w:type="pct"/>
            <w:tcBorders>
              <w:top w:val="single" w:color="auto" w:sz="12" w:space="0"/>
              <w:left w:val="nil"/>
              <w:bottom w:val="single" w:color="auto" w:sz="12" w:space="0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S14</w:t>
            </w:r>
          </w:p>
        </w:tc>
        <w:tc>
          <w:tcPr>
            <w:tcW w:w="469" w:type="pct"/>
            <w:tcBorders>
              <w:top w:val="single" w:color="auto" w:sz="12" w:space="0"/>
              <w:left w:val="nil"/>
              <w:bottom w:val="single" w:color="auto" w:sz="12" w:space="0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S15</w:t>
            </w:r>
          </w:p>
        </w:tc>
        <w:tc>
          <w:tcPr>
            <w:tcW w:w="469" w:type="pct"/>
            <w:tcBorders>
              <w:top w:val="single" w:color="auto" w:sz="12" w:space="0"/>
              <w:left w:val="nil"/>
              <w:bottom w:val="single" w:color="auto" w:sz="12" w:space="0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S16</w:t>
            </w:r>
          </w:p>
        </w:tc>
        <w:tc>
          <w:tcPr>
            <w:tcW w:w="470" w:type="pct"/>
            <w:tcBorders>
              <w:top w:val="single" w:color="auto" w:sz="12" w:space="0"/>
              <w:left w:val="nil"/>
              <w:bottom w:val="single" w:color="auto" w:sz="12" w:space="0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S17</w:t>
            </w:r>
          </w:p>
        </w:tc>
        <w:tc>
          <w:tcPr>
            <w:tcW w:w="422" w:type="pct"/>
            <w:tcBorders>
              <w:top w:val="single" w:color="auto" w:sz="12" w:space="0"/>
              <w:left w:val="nil"/>
              <w:bottom w:val="single" w:color="auto" w:sz="12" w:space="0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S18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008" w:type="pct"/>
            <w:tcBorders>
              <w:top w:val="single" w:color="auto" w:sz="12" w:space="0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2-Butene</w:t>
            </w:r>
          </w:p>
        </w:tc>
        <w:tc>
          <w:tcPr>
            <w:tcW w:w="422" w:type="pct"/>
            <w:tcBorders>
              <w:top w:val="single" w:color="auto" w:sz="12" w:space="0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15453.90</w:t>
            </w:r>
          </w:p>
        </w:tc>
        <w:tc>
          <w:tcPr>
            <w:tcW w:w="422" w:type="pct"/>
            <w:tcBorders>
              <w:top w:val="single" w:color="auto" w:sz="12" w:space="0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413.00</w:t>
            </w:r>
          </w:p>
        </w:tc>
        <w:tc>
          <w:tcPr>
            <w:tcW w:w="469" w:type="pct"/>
            <w:tcBorders>
              <w:top w:val="single" w:color="auto" w:sz="12" w:space="0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326.94</w:t>
            </w:r>
          </w:p>
        </w:tc>
        <w:tc>
          <w:tcPr>
            <w:tcW w:w="422" w:type="pct"/>
            <w:tcBorders>
              <w:top w:val="single" w:color="auto" w:sz="12" w:space="0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541.57</w:t>
            </w:r>
          </w:p>
        </w:tc>
        <w:tc>
          <w:tcPr>
            <w:tcW w:w="422" w:type="pct"/>
            <w:tcBorders>
              <w:top w:val="single" w:color="auto" w:sz="12" w:space="0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437.23</w:t>
            </w:r>
          </w:p>
        </w:tc>
        <w:tc>
          <w:tcPr>
            <w:tcW w:w="469" w:type="pct"/>
            <w:tcBorders>
              <w:top w:val="single" w:color="auto" w:sz="12" w:space="0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361.97</w:t>
            </w:r>
          </w:p>
        </w:tc>
        <w:tc>
          <w:tcPr>
            <w:tcW w:w="469" w:type="pct"/>
            <w:tcBorders>
              <w:top w:val="single" w:color="auto" w:sz="12" w:space="0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69229.50</w:t>
            </w:r>
          </w:p>
        </w:tc>
        <w:tc>
          <w:tcPr>
            <w:tcW w:w="470" w:type="pct"/>
            <w:tcBorders>
              <w:top w:val="single" w:color="auto" w:sz="12" w:space="0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73239.37</w:t>
            </w:r>
          </w:p>
        </w:tc>
        <w:tc>
          <w:tcPr>
            <w:tcW w:w="422" w:type="pct"/>
            <w:tcBorders>
              <w:top w:val="single" w:color="auto" w:sz="12" w:space="0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11689.13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0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Propenal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1687.17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1656.57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1196.13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2680.07</w:t>
            </w:r>
          </w:p>
        </w:tc>
        <w:tc>
          <w:tcPr>
            <w:tcW w:w="4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1976.20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3484.53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0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Ethanol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1307.40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0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1-Propanol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1260.07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1079.27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2470.63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2685.50</w:t>
            </w:r>
          </w:p>
        </w:tc>
        <w:tc>
          <w:tcPr>
            <w:tcW w:w="4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3379.37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1027.57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0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Hexane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1062.37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1305.40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1275.99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1103.63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0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Methylcyclopentane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1241.27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0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Ethylbutyrate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2113.10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1057.57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0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(Z)-3-hexenal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1720.70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2890.20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3723.83</w:t>
            </w:r>
          </w:p>
        </w:tc>
        <w:tc>
          <w:tcPr>
            <w:tcW w:w="4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2307.57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0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Butanoicacid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91001.33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7112.23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3888.48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5250.17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20890.07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13121.03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0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Pentanoicacid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2813.30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1172.67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1295.67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1381.90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1494.97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0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α-pinene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10498.73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3970.93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1658.28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1774.40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4717.53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4330.73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0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5-Methylfurfural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16116.10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1809.30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840.39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1142.87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4081.90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3074.50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0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β-Pinene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0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Myrcene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0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Octanal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5815.93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1254.50</w:t>
            </w:r>
          </w:p>
        </w:tc>
        <w:tc>
          <w:tcPr>
            <w:tcW w:w="4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1946.27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2810.00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0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α-Phellandrene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3433.43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0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Norfuraneol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18564.70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1271.47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553.15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623.50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1925.73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1635.27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3386.67</w:t>
            </w:r>
          </w:p>
        </w:tc>
        <w:tc>
          <w:tcPr>
            <w:tcW w:w="4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6801.70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0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γ-Terpinene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17006.97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4203.13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2975.24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2987.33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5673.67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5740.60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1350.00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0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3-Nonanone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60307.17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11423.87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5198.19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6392.27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21668.47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18359.43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4088.63</w:t>
            </w:r>
          </w:p>
        </w:tc>
        <w:tc>
          <w:tcPr>
            <w:tcW w:w="4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4111.10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2843.93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0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p-Cymenene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4424.33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901.27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1764.83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1468.80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0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n-nonanal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2093.33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0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1,3,8para-Menthatriene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1481.30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0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camphor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1343.37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0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Cymen-8-ol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1399.50</w:t>
            </w:r>
          </w:p>
        </w:tc>
        <w:tc>
          <w:tcPr>
            <w:tcW w:w="4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1290.00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0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2,6-dimethoxy-phenol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0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trans-Carveol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0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(Z)-3-Hexenylhexanoate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0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N-hexyl-hexanoate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0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(E)-Cinnamicacid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0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Geosmin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44809.70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10433.40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19981.88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6580.30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8910.20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8476.73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30665.90</w:t>
            </w:r>
          </w:p>
        </w:tc>
        <w:tc>
          <w:tcPr>
            <w:tcW w:w="4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82372.40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25840.80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0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β-Caryophyllene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2881.97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0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α-Selinene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763.30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0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Methyldodecanoate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1754.87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1237.49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1416.80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0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8-methylpentadecane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1399.57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1268.35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1463.33</w:t>
            </w:r>
          </w:p>
        </w:tc>
        <w:tc>
          <w:tcPr>
            <w:tcW w:w="4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4185.30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0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Rheosmin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1362.10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2156.43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0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1-Tridecanol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1034.13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1094.47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0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Tetradecanal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1525.54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1368.37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870.03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1571.03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0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2-Pentadecanone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2631.07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1457.70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1502.56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1718.83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1054.37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2089.23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3408.67</w:t>
            </w:r>
          </w:p>
        </w:tc>
        <w:tc>
          <w:tcPr>
            <w:tcW w:w="4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5812.40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4252.50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0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Methyltetradecanoate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3956.00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2571.93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3466.89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3800.03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1721.23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3065.97</w:t>
            </w:r>
          </w:p>
        </w:tc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1468.40</w:t>
            </w:r>
          </w:p>
        </w:tc>
        <w:tc>
          <w:tcPr>
            <w:tcW w:w="4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2271.27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1852.00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008" w:type="pct"/>
            <w:tcBorders>
              <w:top w:val="nil"/>
              <w:left w:val="nil"/>
              <w:bottom w:val="single" w:color="auto" w:sz="12" w:space="0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Tetradecylacetate</w:t>
            </w:r>
          </w:p>
        </w:tc>
        <w:tc>
          <w:tcPr>
            <w:tcW w:w="422" w:type="pct"/>
            <w:tcBorders>
              <w:top w:val="nil"/>
              <w:left w:val="nil"/>
              <w:bottom w:val="single" w:color="auto" w:sz="12" w:space="0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single" w:color="auto" w:sz="12" w:space="0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69" w:type="pct"/>
            <w:tcBorders>
              <w:top w:val="nil"/>
              <w:left w:val="nil"/>
              <w:bottom w:val="single" w:color="auto" w:sz="12" w:space="0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1103.28</w:t>
            </w:r>
          </w:p>
        </w:tc>
        <w:tc>
          <w:tcPr>
            <w:tcW w:w="422" w:type="pct"/>
            <w:tcBorders>
              <w:top w:val="nil"/>
              <w:left w:val="nil"/>
              <w:bottom w:val="single" w:color="auto" w:sz="12" w:space="0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22" w:type="pct"/>
            <w:tcBorders>
              <w:top w:val="nil"/>
              <w:left w:val="nil"/>
              <w:bottom w:val="single" w:color="auto" w:sz="12" w:space="0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69" w:type="pct"/>
            <w:tcBorders>
              <w:top w:val="nil"/>
              <w:left w:val="nil"/>
              <w:bottom w:val="single" w:color="auto" w:sz="12" w:space="0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</w:t>
            </w:r>
          </w:p>
        </w:tc>
        <w:tc>
          <w:tcPr>
            <w:tcW w:w="469" w:type="pct"/>
            <w:tcBorders>
              <w:top w:val="nil"/>
              <w:left w:val="nil"/>
              <w:bottom w:val="single" w:color="auto" w:sz="12" w:space="0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1027.77</w:t>
            </w:r>
          </w:p>
        </w:tc>
        <w:tc>
          <w:tcPr>
            <w:tcW w:w="470" w:type="pct"/>
            <w:tcBorders>
              <w:top w:val="nil"/>
              <w:left w:val="nil"/>
              <w:bottom w:val="single" w:color="auto" w:sz="12" w:space="0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2104.77</w:t>
            </w:r>
          </w:p>
        </w:tc>
        <w:tc>
          <w:tcPr>
            <w:tcW w:w="422" w:type="pct"/>
            <w:tcBorders>
              <w:top w:val="nil"/>
              <w:left w:val="nil"/>
              <w:bottom w:val="single" w:color="auto" w:sz="12" w:space="0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default" w:ascii="Palatino Linotype" w:hAnsi="Palatino Linotype" w:eastAsia="宋体" w:cs="Palatino Linotype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1017.13</w:t>
            </w:r>
          </w:p>
        </w:tc>
      </w:tr>
    </w:tbl>
    <w:p>
      <w:pPr>
        <w:pStyle w:val="33"/>
        <w:ind w:left="0" w:leftChars="0" w:firstLine="0" w:firstLineChars="0"/>
        <w:rPr>
          <w:rFonts w:hint="eastAsia" w:ascii="Palatino Linotype" w:hAnsi="Palatino Linotype" w:eastAsia="Times New Roman" w:cs="Times New Roman"/>
          <w:snapToGrid w:val="0"/>
          <w:color w:val="000000"/>
          <w:sz w:val="18"/>
          <w:szCs w:val="18"/>
          <w:lang w:val="en-US" w:eastAsia="de-DE" w:bidi="en-US"/>
        </w:rPr>
      </w:pPr>
      <w:r>
        <w:rPr>
          <w:rFonts w:hint="eastAsia" w:eastAsia="宋体" w:cs="Times New Roman"/>
          <w:snapToGrid w:val="0"/>
          <w:color w:val="000000"/>
          <w:sz w:val="18"/>
          <w:szCs w:val="18"/>
          <w:vertAlign w:val="superscript"/>
          <w:lang w:val="en-US" w:eastAsia="zh-CN" w:bidi="en-US"/>
        </w:rPr>
        <w:t>3</w:t>
      </w:r>
      <w:r>
        <w:rPr>
          <w:rFonts w:hint="eastAsia" w:ascii="Palatino Linotype" w:hAnsi="Palatino Linotype" w:eastAsia="Times New Roman" w:cs="Times New Roman"/>
          <w:snapToGrid w:val="0"/>
          <w:color w:val="000000"/>
          <w:sz w:val="18"/>
          <w:szCs w:val="18"/>
          <w:lang w:val="en-US" w:eastAsia="de-DE" w:bidi="en-US"/>
        </w:rPr>
        <w:t xml:space="preserve"> </w:t>
      </w:r>
      <w:r>
        <w:rPr>
          <w:rFonts w:hint="eastAsia" w:eastAsia="宋体" w:cs="Times New Roman"/>
          <w:snapToGrid w:val="0"/>
          <w:color w:val="000000"/>
          <w:sz w:val="18"/>
          <w:szCs w:val="18"/>
          <w:lang w:val="en-US" w:eastAsia="zh-CN" w:bidi="en-US"/>
        </w:rPr>
        <w:t>ID</w:t>
      </w:r>
      <w:r>
        <w:rPr>
          <w:rFonts w:hint="eastAsia" w:ascii="Palatino Linotype" w:hAnsi="Palatino Linotype" w:eastAsia="Times New Roman" w:cs="Times New Roman"/>
          <w:snapToGrid w:val="0"/>
          <w:color w:val="000000"/>
          <w:sz w:val="18"/>
          <w:szCs w:val="18"/>
          <w:lang w:val="en-US" w:eastAsia="de-DE" w:bidi="en-US"/>
        </w:rPr>
        <w:t>: S1-S18 represent different chamomile samples</w:t>
      </w:r>
      <w:r>
        <w:rPr>
          <w:rFonts w:hint="eastAsia" w:eastAsia="宋体" w:cs="Times New Roman"/>
          <w:snapToGrid w:val="0"/>
          <w:color w:val="000000"/>
          <w:sz w:val="18"/>
          <w:szCs w:val="18"/>
          <w:lang w:val="en-US" w:eastAsia="zh-CN" w:bidi="en-US"/>
        </w:rPr>
        <w:t>;</w:t>
      </w:r>
      <w:r>
        <w:rPr>
          <w:rFonts w:hint="eastAsia" w:ascii="Palatino Linotype" w:hAnsi="Palatino Linotype" w:eastAsia="Times New Roman" w:cs="Times New Roman"/>
          <w:snapToGrid w:val="0"/>
          <w:color w:val="000000"/>
          <w:sz w:val="18"/>
          <w:szCs w:val="18"/>
          <w:lang w:val="en-US" w:eastAsia="de-DE" w:bidi="en-US"/>
        </w:rPr>
        <w:t xml:space="preserve"> </w:t>
      </w:r>
      <w:r>
        <w:rPr>
          <w:rFonts w:hint="eastAsia" w:eastAsia="宋体" w:cs="Times New Roman"/>
          <w:snapToGrid w:val="0"/>
          <w:color w:val="000000"/>
          <w:sz w:val="18"/>
          <w:szCs w:val="18"/>
          <w:lang w:val="en-US" w:eastAsia="zh-CN" w:bidi="en-US"/>
        </w:rPr>
        <w:t>t</w:t>
      </w:r>
      <w:r>
        <w:rPr>
          <w:rFonts w:hint="eastAsia" w:ascii="Palatino Linotype" w:hAnsi="Palatino Linotype" w:eastAsia="Times New Roman" w:cs="Times New Roman"/>
          <w:snapToGrid w:val="0"/>
          <w:color w:val="000000"/>
          <w:sz w:val="18"/>
          <w:szCs w:val="18"/>
          <w:lang w:val="en-US" w:eastAsia="de-DE" w:bidi="en-US"/>
        </w:rPr>
        <w:t xml:space="preserve">he leftmost column lists the </w:t>
      </w:r>
      <w:r>
        <w:rPr>
          <w:rFonts w:hint="eastAsia" w:eastAsia="宋体" w:cs="Times New Roman"/>
          <w:snapToGrid w:val="0"/>
          <w:color w:val="000000"/>
          <w:sz w:val="18"/>
          <w:szCs w:val="18"/>
          <w:lang w:val="en-US" w:eastAsia="zh-CN" w:bidi="en-US"/>
        </w:rPr>
        <w:t xml:space="preserve">name of </w:t>
      </w:r>
      <w:r>
        <w:rPr>
          <w:rFonts w:hint="eastAsia" w:ascii="Palatino Linotype" w:hAnsi="Palatino Linotype" w:eastAsia="Times New Roman" w:cs="Times New Roman"/>
          <w:snapToGrid w:val="0"/>
          <w:color w:val="000000"/>
          <w:sz w:val="18"/>
          <w:szCs w:val="18"/>
          <w:lang w:val="en-US" w:eastAsia="de-DE" w:bidi="en-US"/>
        </w:rPr>
        <w:t>identified compounds for each peak</w:t>
      </w:r>
      <w:r>
        <w:rPr>
          <w:rFonts w:hint="eastAsia" w:eastAsia="宋体" w:cs="Times New Roman"/>
          <w:snapToGrid w:val="0"/>
          <w:color w:val="000000"/>
          <w:sz w:val="18"/>
          <w:szCs w:val="18"/>
          <w:lang w:val="en-US" w:eastAsia="zh-CN" w:bidi="en-US"/>
        </w:rPr>
        <w:t>;</w:t>
      </w:r>
      <w:r>
        <w:rPr>
          <w:rFonts w:hint="eastAsia" w:ascii="Palatino Linotype" w:hAnsi="Palatino Linotype" w:eastAsia="Times New Roman" w:cs="Times New Roman"/>
          <w:snapToGrid w:val="0"/>
          <w:color w:val="000000"/>
          <w:sz w:val="18"/>
          <w:szCs w:val="18"/>
          <w:lang w:val="en-US" w:eastAsia="de-DE" w:bidi="en-US"/>
        </w:rPr>
        <w:t xml:space="preserve"> </w:t>
      </w:r>
      <w:r>
        <w:rPr>
          <w:rFonts w:hint="eastAsia" w:eastAsia="宋体" w:cs="Times New Roman"/>
          <w:snapToGrid w:val="0"/>
          <w:color w:val="000000"/>
          <w:sz w:val="18"/>
          <w:szCs w:val="18"/>
          <w:lang w:val="en-US" w:eastAsia="zh-CN" w:bidi="en-US"/>
        </w:rPr>
        <w:t>t</w:t>
      </w:r>
      <w:r>
        <w:rPr>
          <w:rFonts w:hint="eastAsia" w:ascii="Palatino Linotype" w:hAnsi="Palatino Linotype" w:eastAsia="Times New Roman" w:cs="Times New Roman"/>
          <w:snapToGrid w:val="0"/>
          <w:color w:val="000000"/>
          <w:sz w:val="18"/>
          <w:szCs w:val="18"/>
          <w:lang w:val="en-US" w:eastAsia="de-DE" w:bidi="en-US"/>
        </w:rPr>
        <w:t xml:space="preserve">he data </w:t>
      </w:r>
      <w:r>
        <w:rPr>
          <w:rFonts w:hint="eastAsia" w:eastAsia="宋体" w:cs="Times New Roman"/>
          <w:snapToGrid w:val="0"/>
          <w:color w:val="000000"/>
          <w:sz w:val="18"/>
          <w:szCs w:val="18"/>
          <w:lang w:val="en-US" w:eastAsia="zh-CN" w:bidi="en-US"/>
        </w:rPr>
        <w:t>represent</w:t>
      </w:r>
      <w:r>
        <w:rPr>
          <w:rFonts w:hint="eastAsia" w:ascii="Palatino Linotype" w:hAnsi="Palatino Linotype" w:eastAsia="Times New Roman" w:cs="Times New Roman"/>
          <w:snapToGrid w:val="0"/>
          <w:color w:val="000000"/>
          <w:sz w:val="18"/>
          <w:szCs w:val="18"/>
          <w:lang w:val="en-US" w:eastAsia="de-DE" w:bidi="en-US"/>
        </w:rPr>
        <w:t xml:space="preserve"> the signal peak areas </w:t>
      </w:r>
      <w:r>
        <w:rPr>
          <w:rFonts w:hint="eastAsia" w:eastAsia="宋体" w:cs="Times New Roman"/>
          <w:snapToGrid w:val="0"/>
          <w:color w:val="000000"/>
          <w:sz w:val="18"/>
          <w:szCs w:val="18"/>
          <w:lang w:val="en-US" w:eastAsia="zh-CN" w:bidi="en-US"/>
        </w:rPr>
        <w:t>analyse</w:t>
      </w:r>
      <w:r>
        <w:rPr>
          <w:rFonts w:hint="eastAsia" w:ascii="Palatino Linotype" w:hAnsi="Palatino Linotype" w:eastAsia="Times New Roman" w:cs="Times New Roman"/>
          <w:snapToGrid w:val="0"/>
          <w:color w:val="000000"/>
          <w:sz w:val="18"/>
          <w:szCs w:val="18"/>
          <w:lang w:val="en-US" w:eastAsia="de-DE" w:bidi="en-US"/>
        </w:rPr>
        <w:t>d by the Rapid Gas Chromatography Electronic Nose.</w:t>
      </w:r>
    </w:p>
    <w:p>
      <w:pPr>
        <w:pStyle w:val="33"/>
        <w:ind w:left="0" w:leftChars="0" w:firstLine="0" w:firstLineChars="0"/>
        <w:rPr>
          <w:rFonts w:hint="eastAsia" w:ascii="Palatino Linotype" w:hAnsi="Palatino Linotype" w:eastAsia="Times New Roman" w:cs="Times New Roman"/>
          <w:snapToGrid w:val="0"/>
          <w:color w:val="000000"/>
          <w:sz w:val="18"/>
          <w:szCs w:val="18"/>
          <w:lang w:val="en-US" w:eastAsia="de-DE" w:bidi="en-US"/>
        </w:rPr>
      </w:pPr>
    </w:p>
    <w:p>
      <w:pPr>
        <w:pStyle w:val="33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ind w:left="0" w:leftChars="0" w:firstLine="0" w:firstLineChars="0"/>
        <w:jc w:val="center"/>
        <w:textAlignment w:val="auto"/>
        <w:rPr>
          <w:rFonts w:hint="eastAsia" w:eastAsia="宋体"/>
          <w:lang w:val="en-US" w:eastAsia="zh-CN"/>
        </w:rPr>
      </w:pPr>
      <w:r>
        <w:rPr>
          <w:rFonts w:hint="eastAsia" w:eastAsia="宋体" w:cs="Times New Roman"/>
          <w:b/>
          <w:snapToGrid w:val="0"/>
          <w:color w:val="000000"/>
          <w:sz w:val="20"/>
          <w:szCs w:val="22"/>
          <w:lang w:val="en-US" w:eastAsia="zh-CN" w:bidi="en-US"/>
        </w:rPr>
        <w:t>Figur</w:t>
      </w:r>
      <w:r>
        <w:rPr>
          <w:rFonts w:hint="eastAsia" w:ascii="Palatino Linotype" w:hAnsi="Palatino Linotype" w:eastAsia="Times New Roman" w:cs="Times New Roman"/>
          <w:b/>
          <w:snapToGrid w:val="0"/>
          <w:color w:val="000000"/>
          <w:sz w:val="20"/>
          <w:szCs w:val="22"/>
          <w:lang w:val="en-US" w:eastAsia="de-DE" w:bidi="en-US"/>
        </w:rPr>
        <w:t xml:space="preserve"> S</w:t>
      </w:r>
      <w:r>
        <w:rPr>
          <w:rFonts w:hint="eastAsia" w:eastAsia="宋体" w:cs="Times New Roman"/>
          <w:b/>
          <w:snapToGrid w:val="0"/>
          <w:color w:val="000000"/>
          <w:sz w:val="20"/>
          <w:szCs w:val="22"/>
          <w:lang w:val="en-US" w:eastAsia="zh-CN" w:bidi="en-US"/>
        </w:rPr>
        <w:t>1</w:t>
      </w:r>
    </w:p>
    <w:p>
      <w:pPr>
        <w:pStyle w:val="33"/>
        <w:ind w:left="0" w:leftChars="0" w:firstLine="0" w:firstLineChars="0"/>
        <w:jc w:val="center"/>
        <w:rPr>
          <w:rFonts w:hint="default" w:ascii="Palatino Linotype" w:hAnsi="Palatino Linotype" w:eastAsia="宋体" w:cs="Times New Roman"/>
          <w:snapToGrid w:val="0"/>
          <w:color w:val="000000"/>
          <w:sz w:val="18"/>
          <w:szCs w:val="18"/>
          <w:lang w:val="en-US" w:eastAsia="zh-CN" w:bidi="en-US"/>
        </w:rPr>
      </w:pPr>
      <w:r>
        <w:rPr>
          <w:rFonts w:hint="eastAsia" w:eastAsia="宋体"/>
          <w:sz w:val="18"/>
          <w:szCs w:val="18"/>
          <w:lang w:val="en-US" w:eastAsia="zh-CN"/>
        </w:rPr>
        <w:t>Results of Permutation</w:t>
      </w:r>
    </w:p>
    <w:p>
      <w:pPr>
        <w:pStyle w:val="33"/>
        <w:ind w:left="0" w:leftChars="0" w:firstLine="0" w:firstLineChars="0"/>
        <w:rPr>
          <w:rFonts w:hint="eastAsia" w:ascii="Palatino Linotype" w:hAnsi="Palatino Linotype" w:eastAsia="宋体" w:cs="Times New Roman"/>
          <w:snapToGrid w:val="0"/>
          <w:color w:val="000000"/>
          <w:sz w:val="18"/>
          <w:szCs w:val="18"/>
          <w:lang w:val="en-US" w:eastAsia="zh-CN" w:bidi="en-US"/>
        </w:rPr>
      </w:pPr>
      <w:r>
        <w:rPr>
          <w:rFonts w:hint="eastAsia" w:ascii="Palatino Linotype" w:hAnsi="Palatino Linotype" w:eastAsia="宋体" w:cs="Times New Roman"/>
          <w:snapToGrid w:val="0"/>
          <w:color w:val="000000"/>
          <w:sz w:val="18"/>
          <w:szCs w:val="18"/>
          <w:lang w:val="en-US" w:eastAsia="zh-CN" w:bidi="en-US"/>
        </w:rPr>
        <w:drawing>
          <wp:inline distT="0" distB="0" distL="114300" distR="114300">
            <wp:extent cx="5455285" cy="2218690"/>
            <wp:effectExtent l="0" t="0" r="5715" b="3810"/>
            <wp:docPr id="2" name="图片 2" descr="Permutation合并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Permutation合并1"/>
                    <pic:cNvPicPr>
                      <a:picLocks noChangeAspect="1"/>
                    </pic:cNvPicPr>
                  </pic:nvPicPr>
                  <pic:blipFill>
                    <a:blip r:embed="rId11"/>
                    <a:srcRect t="24613" r="3353" b="36086"/>
                    <a:stretch>
                      <a:fillRect/>
                    </a:stretch>
                  </pic:blipFill>
                  <pic:spPr>
                    <a:xfrm>
                      <a:off x="0" y="0"/>
                      <a:ext cx="5455285" cy="2218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3"/>
        <w:ind w:left="0" w:leftChars="0" w:firstLine="0" w:firstLineChars="0"/>
        <w:rPr>
          <w:rFonts w:hint="eastAsia" w:ascii="Palatino Linotype" w:hAnsi="Palatino Linotype" w:eastAsia="Times New Roman" w:cs="Times New Roman"/>
          <w:snapToGrid w:val="0"/>
          <w:color w:val="000000"/>
          <w:sz w:val="18"/>
          <w:szCs w:val="18"/>
          <w:lang w:val="en-US" w:eastAsia="de-DE" w:bidi="en-US"/>
        </w:rPr>
      </w:pPr>
      <w:r>
        <w:rPr>
          <w:rFonts w:hint="eastAsia" w:eastAsia="宋体" w:cs="Times New Roman"/>
          <w:snapToGrid w:val="0"/>
          <w:color w:val="000000"/>
          <w:sz w:val="18"/>
          <w:szCs w:val="18"/>
          <w:vertAlign w:val="superscript"/>
          <w:lang w:val="en-US" w:eastAsia="zh-CN" w:bidi="en-US"/>
        </w:rPr>
        <w:t>4</w:t>
      </w:r>
      <w:r>
        <w:rPr>
          <w:rFonts w:hint="eastAsia" w:ascii="Palatino Linotype" w:hAnsi="Palatino Linotype" w:eastAsia="Times New Roman" w:cs="Times New Roman"/>
          <w:snapToGrid w:val="0"/>
          <w:color w:val="000000"/>
          <w:sz w:val="18"/>
          <w:szCs w:val="18"/>
          <w:lang w:val="en-US" w:eastAsia="de-DE" w:bidi="en-US"/>
        </w:rPr>
        <w:t xml:space="preserve"> </w:t>
      </w:r>
      <w:r>
        <w:rPr>
          <w:rFonts w:hint="eastAsia" w:eastAsia="宋体" w:cs="Times New Roman"/>
          <w:snapToGrid w:val="0"/>
          <w:color w:val="000000"/>
          <w:sz w:val="18"/>
          <w:szCs w:val="18"/>
          <w:lang w:val="en-US" w:eastAsia="zh-CN" w:bidi="en-US"/>
        </w:rPr>
        <w:t>A</w:t>
      </w:r>
      <w:r>
        <w:rPr>
          <w:rFonts w:hint="eastAsia" w:ascii="Palatino Linotype" w:hAnsi="Palatino Linotype" w:eastAsia="Times New Roman" w:cs="Times New Roman"/>
          <w:snapToGrid w:val="0"/>
          <w:color w:val="000000"/>
          <w:sz w:val="18"/>
          <w:szCs w:val="18"/>
          <w:lang w:val="en-US" w:eastAsia="de-DE" w:bidi="en-US"/>
        </w:rPr>
        <w:t xml:space="preserve">: PLSDA Permutation </w:t>
      </w:r>
      <w:r>
        <w:rPr>
          <w:rFonts w:hint="eastAsia" w:eastAsia="宋体" w:cs="Times New Roman"/>
          <w:snapToGrid w:val="0"/>
          <w:color w:val="000000"/>
          <w:sz w:val="18"/>
          <w:szCs w:val="18"/>
          <w:lang w:val="en-US" w:eastAsia="zh-CN" w:bidi="en-US"/>
        </w:rPr>
        <w:t>r</w:t>
      </w:r>
      <w:r>
        <w:rPr>
          <w:rFonts w:hint="eastAsia" w:ascii="Palatino Linotype" w:hAnsi="Palatino Linotype" w:eastAsia="Times New Roman" w:cs="Times New Roman"/>
          <w:snapToGrid w:val="0"/>
          <w:color w:val="000000"/>
          <w:sz w:val="18"/>
          <w:szCs w:val="18"/>
          <w:lang w:val="en-US" w:eastAsia="de-DE" w:bidi="en-US"/>
        </w:rPr>
        <w:t>esult of GC-MS</w:t>
      </w:r>
      <w:r>
        <w:rPr>
          <w:rFonts w:hint="eastAsia" w:eastAsia="宋体" w:cs="Times New Roman"/>
          <w:snapToGrid w:val="0"/>
          <w:color w:val="000000"/>
          <w:sz w:val="18"/>
          <w:szCs w:val="18"/>
          <w:lang w:val="en-US" w:eastAsia="zh-CN" w:bidi="en-US"/>
        </w:rPr>
        <w:t>;</w:t>
      </w:r>
      <w:r>
        <w:rPr>
          <w:rFonts w:hint="eastAsia" w:ascii="Palatino Linotype" w:hAnsi="Palatino Linotype" w:eastAsia="Times New Roman" w:cs="Times New Roman"/>
          <w:snapToGrid w:val="0"/>
          <w:color w:val="000000"/>
          <w:sz w:val="18"/>
          <w:szCs w:val="18"/>
          <w:lang w:val="en-US" w:eastAsia="de-DE" w:bidi="en-US"/>
        </w:rPr>
        <w:t xml:space="preserve"> </w:t>
      </w:r>
      <w:r>
        <w:rPr>
          <w:rFonts w:hint="eastAsia" w:eastAsia="宋体" w:cs="Times New Roman"/>
          <w:snapToGrid w:val="0"/>
          <w:color w:val="000000"/>
          <w:sz w:val="18"/>
          <w:szCs w:val="18"/>
          <w:lang w:val="en-US" w:eastAsia="zh-CN" w:bidi="en-US"/>
        </w:rPr>
        <w:t>B</w:t>
      </w:r>
      <w:r>
        <w:rPr>
          <w:rFonts w:hint="eastAsia" w:ascii="Palatino Linotype" w:hAnsi="Palatino Linotype" w:eastAsia="Times New Roman" w:cs="Times New Roman"/>
          <w:snapToGrid w:val="0"/>
          <w:color w:val="000000"/>
          <w:sz w:val="18"/>
          <w:szCs w:val="18"/>
          <w:lang w:val="en-US" w:eastAsia="de-DE" w:bidi="en-US"/>
        </w:rPr>
        <w:t xml:space="preserve">: PLSDA Permutation result of </w:t>
      </w:r>
      <w:r>
        <w:rPr>
          <w:rFonts w:hint="eastAsia" w:eastAsia="宋体" w:cs="Times New Roman"/>
          <w:snapToGrid w:val="0"/>
          <w:color w:val="000000"/>
          <w:sz w:val="18"/>
          <w:szCs w:val="18"/>
          <w:lang w:val="en-US" w:eastAsia="zh-CN" w:bidi="en-US"/>
        </w:rPr>
        <w:t>electronic nose.</w:t>
      </w:r>
    </w:p>
    <w:p>
      <w:pPr>
        <w:pStyle w:val="33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ind w:left="0" w:leftChars="0" w:firstLine="0" w:firstLineChars="0"/>
        <w:jc w:val="center"/>
        <w:textAlignment w:val="auto"/>
        <w:rPr>
          <w:rFonts w:hint="eastAsia" w:eastAsia="宋体" w:cs="Times New Roman"/>
          <w:b/>
          <w:snapToGrid w:val="0"/>
          <w:color w:val="000000"/>
          <w:sz w:val="20"/>
          <w:szCs w:val="22"/>
          <w:lang w:val="en-US" w:eastAsia="zh-CN" w:bidi="en-US"/>
        </w:rPr>
      </w:pPr>
    </w:p>
    <w:p>
      <w:pPr>
        <w:pStyle w:val="33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ind w:left="0" w:leftChars="0" w:firstLine="0" w:firstLineChars="0"/>
        <w:jc w:val="center"/>
        <w:textAlignment w:val="auto"/>
        <w:rPr>
          <w:rFonts w:hint="default" w:eastAsia="宋体"/>
          <w:lang w:val="en-US" w:eastAsia="zh-CN"/>
        </w:rPr>
      </w:pPr>
      <w:r>
        <w:rPr>
          <w:rFonts w:hint="eastAsia" w:eastAsia="宋体" w:cs="Times New Roman"/>
          <w:b/>
          <w:snapToGrid w:val="0"/>
          <w:color w:val="000000"/>
          <w:sz w:val="20"/>
          <w:szCs w:val="22"/>
          <w:lang w:val="en-US" w:eastAsia="zh-CN" w:bidi="en-US"/>
        </w:rPr>
        <w:t>Figur</w:t>
      </w:r>
      <w:r>
        <w:rPr>
          <w:rFonts w:hint="eastAsia" w:ascii="Palatino Linotype" w:hAnsi="Palatino Linotype" w:eastAsia="Times New Roman" w:cs="Times New Roman"/>
          <w:b/>
          <w:snapToGrid w:val="0"/>
          <w:color w:val="000000"/>
          <w:sz w:val="20"/>
          <w:szCs w:val="22"/>
          <w:lang w:val="en-US" w:eastAsia="de-DE" w:bidi="en-US"/>
        </w:rPr>
        <w:t xml:space="preserve"> S</w:t>
      </w:r>
      <w:r>
        <w:rPr>
          <w:rFonts w:hint="eastAsia" w:eastAsia="宋体" w:cs="Times New Roman"/>
          <w:b/>
          <w:snapToGrid w:val="0"/>
          <w:color w:val="000000"/>
          <w:sz w:val="20"/>
          <w:szCs w:val="22"/>
          <w:lang w:val="en-US" w:eastAsia="zh-CN" w:bidi="en-US"/>
        </w:rPr>
        <w:t>2</w:t>
      </w:r>
    </w:p>
    <w:p>
      <w:pPr>
        <w:pStyle w:val="33"/>
        <w:ind w:left="0" w:leftChars="0" w:firstLine="0" w:firstLineChars="0"/>
        <w:jc w:val="center"/>
        <w:rPr>
          <w:rFonts w:hint="default" w:ascii="Palatino Linotype" w:hAnsi="Palatino Linotype" w:eastAsia="宋体" w:cs="Times New Roman"/>
          <w:snapToGrid w:val="0"/>
          <w:color w:val="000000"/>
          <w:sz w:val="18"/>
          <w:szCs w:val="18"/>
          <w:lang w:val="en-US" w:eastAsia="zh-CN" w:bidi="en-US"/>
        </w:rPr>
      </w:pPr>
      <w:r>
        <w:rPr>
          <w:rFonts w:hint="eastAsia" w:eastAsia="宋体"/>
          <w:sz w:val="18"/>
          <w:szCs w:val="18"/>
          <w:lang w:val="en-US" w:eastAsia="zh-CN"/>
        </w:rPr>
        <w:t>Results of Single-Factor Investigations</w:t>
      </w:r>
    </w:p>
    <w:p>
      <w:pPr>
        <w:pStyle w:val="33"/>
        <w:ind w:left="0" w:leftChars="0" w:firstLine="0" w:firstLineChars="0"/>
        <w:rPr>
          <w:rFonts w:hint="eastAsia" w:ascii="Palatino Linotype" w:hAnsi="Palatino Linotype" w:eastAsia="宋体" w:cs="Times New Roman"/>
          <w:snapToGrid w:val="0"/>
          <w:color w:val="000000"/>
          <w:sz w:val="18"/>
          <w:szCs w:val="18"/>
          <w:lang w:val="en-US" w:eastAsia="zh-CN" w:bidi="en-US"/>
        </w:rPr>
      </w:pPr>
    </w:p>
    <w:p>
      <w:pPr>
        <w:pStyle w:val="33"/>
        <w:ind w:left="0" w:leftChars="0" w:firstLine="0" w:firstLineChars="0"/>
        <w:rPr>
          <w:rFonts w:hint="eastAsia" w:ascii="Palatino Linotype" w:hAnsi="Palatino Linotype" w:eastAsia="宋体" w:cs="Times New Roman"/>
          <w:snapToGrid w:val="0"/>
          <w:color w:val="000000"/>
          <w:sz w:val="18"/>
          <w:szCs w:val="18"/>
          <w:lang w:val="en-US" w:eastAsia="zh-CN" w:bidi="en-US"/>
        </w:rPr>
      </w:pPr>
      <w:r>
        <w:rPr>
          <w:rFonts w:hint="eastAsia" w:ascii="Palatino Linotype" w:hAnsi="Palatino Linotype" w:eastAsia="宋体" w:cs="Times New Roman"/>
          <w:snapToGrid w:val="0"/>
          <w:color w:val="000000"/>
          <w:sz w:val="18"/>
          <w:szCs w:val="18"/>
          <w:lang w:val="en-US" w:eastAsia="zh-CN" w:bidi="en-US"/>
        </w:rPr>
        <w:drawing>
          <wp:inline distT="0" distB="0" distL="114300" distR="114300">
            <wp:extent cx="4545330" cy="4191000"/>
            <wp:effectExtent l="0" t="0" r="1270" b="0"/>
            <wp:docPr id="4" name="图片 4" descr="合并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合并1"/>
                    <pic:cNvPicPr>
                      <a:picLocks noChangeAspect="1"/>
                    </pic:cNvPicPr>
                  </pic:nvPicPr>
                  <pic:blipFill>
                    <a:blip r:embed="rId12"/>
                    <a:srcRect l="1819" t="8242" r="4651" b="5525"/>
                    <a:stretch>
                      <a:fillRect/>
                    </a:stretch>
                  </pic:blipFill>
                  <pic:spPr>
                    <a:xfrm>
                      <a:off x="0" y="0"/>
                      <a:ext cx="4545330" cy="4191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3"/>
        <w:ind w:left="0" w:leftChars="0" w:firstLine="0" w:firstLineChars="0"/>
        <w:rPr>
          <w:rFonts w:hint="default" w:ascii="Palatino Linotype" w:hAnsi="Palatino Linotype" w:eastAsia="Times New Roman" w:cs="Times New Roman"/>
          <w:snapToGrid w:val="0"/>
          <w:color w:val="000000"/>
          <w:sz w:val="18"/>
          <w:szCs w:val="18"/>
          <w:lang w:val="en-US" w:eastAsia="de-DE" w:bidi="en-US"/>
        </w:rPr>
      </w:pPr>
      <w:r>
        <w:rPr>
          <w:rFonts w:hint="eastAsia" w:eastAsia="宋体" w:cs="Times New Roman"/>
          <w:snapToGrid w:val="0"/>
          <w:color w:val="000000"/>
          <w:sz w:val="18"/>
          <w:szCs w:val="18"/>
          <w:vertAlign w:val="superscript"/>
          <w:lang w:val="en-US" w:eastAsia="zh-CN" w:bidi="en-US"/>
        </w:rPr>
        <w:t>5</w:t>
      </w:r>
      <w:r>
        <w:rPr>
          <w:rFonts w:hint="eastAsia" w:ascii="Palatino Linotype" w:hAnsi="Palatino Linotype" w:eastAsia="Times New Roman" w:cs="Times New Roman"/>
          <w:snapToGrid w:val="0"/>
          <w:color w:val="000000"/>
          <w:sz w:val="18"/>
          <w:szCs w:val="18"/>
          <w:lang w:val="en-US" w:eastAsia="de-DE" w:bidi="en-US"/>
        </w:rPr>
        <w:t xml:space="preserve"> </w:t>
      </w:r>
      <w:r>
        <w:rPr>
          <w:rFonts w:hint="eastAsia" w:eastAsia="宋体" w:cs="Times New Roman"/>
          <w:snapToGrid w:val="0"/>
          <w:color w:val="000000"/>
          <w:sz w:val="18"/>
          <w:szCs w:val="18"/>
          <w:lang w:val="en-US" w:eastAsia="zh-CN" w:bidi="en-US"/>
        </w:rPr>
        <w:t>A</w:t>
      </w:r>
      <w:r>
        <w:rPr>
          <w:rFonts w:hint="eastAsia" w:ascii="Palatino Linotype" w:hAnsi="Palatino Linotype" w:eastAsia="Times New Roman" w:cs="Times New Roman"/>
          <w:snapToGrid w:val="0"/>
          <w:color w:val="000000"/>
          <w:sz w:val="18"/>
          <w:szCs w:val="18"/>
          <w:lang w:val="en-US" w:eastAsia="de-DE" w:bidi="en-US"/>
        </w:rPr>
        <w:t xml:space="preserve">: </w:t>
      </w:r>
      <w:r>
        <w:rPr>
          <w:rFonts w:hint="eastAsia" w:eastAsia="宋体" w:cs="Times New Roman"/>
          <w:snapToGrid w:val="0"/>
          <w:color w:val="000000"/>
          <w:sz w:val="18"/>
          <w:szCs w:val="18"/>
          <w:lang w:val="en-US" w:eastAsia="zh-CN" w:bidi="en-US"/>
        </w:rPr>
        <w:t>C</w:t>
      </w:r>
      <w:r>
        <w:rPr>
          <w:rFonts w:hint="eastAsia" w:ascii="Palatino Linotype" w:hAnsi="Palatino Linotype" w:eastAsia="Times New Roman" w:cs="Times New Roman"/>
          <w:snapToGrid w:val="0"/>
          <w:color w:val="000000"/>
          <w:sz w:val="18"/>
          <w:szCs w:val="18"/>
          <w:lang w:val="en-US" w:eastAsia="de-DE" w:bidi="en-US"/>
        </w:rPr>
        <w:t>hromatograms of Sample Quantity</w:t>
      </w:r>
      <w:r>
        <w:rPr>
          <w:rFonts w:hint="eastAsia" w:eastAsia="宋体" w:cs="Times New Roman"/>
          <w:snapToGrid w:val="0"/>
          <w:color w:val="000000"/>
          <w:sz w:val="18"/>
          <w:szCs w:val="18"/>
          <w:lang w:val="en-US" w:eastAsia="zh-CN" w:bidi="en-US"/>
        </w:rPr>
        <w:t>;</w:t>
      </w:r>
      <w:r>
        <w:rPr>
          <w:rFonts w:hint="eastAsia" w:ascii="Palatino Linotype" w:hAnsi="Palatino Linotype" w:eastAsia="Times New Roman" w:cs="Times New Roman"/>
          <w:snapToGrid w:val="0"/>
          <w:color w:val="000000"/>
          <w:sz w:val="18"/>
          <w:szCs w:val="18"/>
          <w:lang w:val="en-US" w:eastAsia="de-DE" w:bidi="en-US"/>
        </w:rPr>
        <w:t xml:space="preserve"> </w:t>
      </w:r>
      <w:r>
        <w:rPr>
          <w:rFonts w:hint="eastAsia" w:eastAsia="宋体" w:cs="Times New Roman"/>
          <w:snapToGrid w:val="0"/>
          <w:color w:val="000000"/>
          <w:sz w:val="18"/>
          <w:szCs w:val="18"/>
          <w:lang w:val="en-US" w:eastAsia="zh-CN" w:bidi="en-US"/>
        </w:rPr>
        <w:t>B</w:t>
      </w:r>
      <w:r>
        <w:rPr>
          <w:rFonts w:hint="eastAsia" w:ascii="Palatino Linotype" w:hAnsi="Palatino Linotype" w:eastAsia="Times New Roman" w:cs="Times New Roman"/>
          <w:snapToGrid w:val="0"/>
          <w:color w:val="000000"/>
          <w:sz w:val="18"/>
          <w:szCs w:val="18"/>
          <w:lang w:val="en-US" w:eastAsia="de-DE" w:bidi="en-US"/>
        </w:rPr>
        <w:t>: Chromatograms of</w:t>
      </w:r>
      <w:r>
        <w:rPr>
          <w:rFonts w:hint="eastAsia" w:eastAsia="宋体" w:cs="Times New Roman"/>
          <w:snapToGrid w:val="0"/>
          <w:color w:val="000000"/>
          <w:sz w:val="18"/>
          <w:szCs w:val="18"/>
          <w:lang w:val="en-US" w:eastAsia="zh-CN" w:bidi="en-US"/>
        </w:rPr>
        <w:t xml:space="preserve"> Injection Volume; C: Chromatograms of Incubation Temperature; D: Chromatograms of Incubation Time.</w:t>
      </w:r>
    </w:p>
    <w:p>
      <w:pPr>
        <w:pStyle w:val="33"/>
        <w:ind w:left="0" w:leftChars="0" w:firstLine="0" w:firstLineChars="0"/>
        <w:rPr>
          <w:rFonts w:hint="eastAsia" w:ascii="Palatino Linotype" w:hAnsi="Palatino Linotype" w:eastAsia="宋体" w:cs="Times New Roman"/>
          <w:snapToGrid w:val="0"/>
          <w:color w:val="000000"/>
          <w:sz w:val="18"/>
          <w:szCs w:val="18"/>
          <w:lang w:val="en-US" w:eastAsia="zh-CN" w:bidi="en-US"/>
        </w:rPr>
      </w:pPr>
    </w:p>
    <w:sectPr>
      <w:headerReference r:id="rId7" w:type="first"/>
      <w:footerReference r:id="rId9" w:type="first"/>
      <w:headerReference r:id="rId5" w:type="default"/>
      <w:footerReference r:id="rId8" w:type="default"/>
      <w:headerReference r:id="rId6" w:type="even"/>
      <w:type w:val="continuous"/>
      <w:pgSz w:w="11906" w:h="16838"/>
      <w:pgMar w:top="1417" w:right="720" w:bottom="1077" w:left="720" w:header="1020" w:footer="340" w:gutter="0"/>
      <w:pgBorders>
        <w:top w:val="none" w:sz="0" w:space="0"/>
        <w:left w:val="none" w:sz="0" w:space="0"/>
        <w:bottom w:val="none" w:sz="0" w:space="0"/>
        <w:right w:val="none" w:sz="0" w:space="0"/>
      </w:pgBorders>
      <w:lnNumType w:countBy="1" w:distance="255" w:restart="continuous"/>
      <w:pgNumType w:start="1"/>
      <w:cols w:space="425" w:num="1"/>
      <w:titlePg/>
      <w:bidi/>
      <w:docGrid w:type="lines" w:linePitch="326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Palatino Linotype">
    <w:panose1 w:val="02040502050505030304"/>
    <w:charset w:val="00"/>
    <w:family w:val="roman"/>
    <w:pitch w:val="default"/>
    <w:sig w:usb0="E0000287" w:usb1="40000013" w:usb2="00000000" w:usb3="00000000" w:csb0="2000019F" w:csb1="00000000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</w:font>
  <w:font w:name="Cordia New">
    <w:altName w:val="Microsoft Sans Serif"/>
    <w:panose1 w:val="020B0304020202020204"/>
    <w:charset w:val="DE"/>
    <w:family w:val="swiss"/>
    <w:pitch w:val="default"/>
    <w:sig w:usb0="00000000" w:usb1="00000000" w:usb2="00000000" w:usb3="00000000" w:csb0="00010001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Microsoft Sans Serif">
    <w:panose1 w:val="020B0604020202020204"/>
    <w:charset w:val="00"/>
    <w:family w:val="auto"/>
    <w:pitch w:val="default"/>
    <w:sig w:usb0="E5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spacing w:line="240" w:lineRule="auto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top w:val="single" w:color="000000" w:sz="4" w:space="0"/>
      </w:pBdr>
      <w:tabs>
        <w:tab w:val="right" w:pos="8844"/>
      </w:tabs>
      <w:adjustRightInd w:val="0"/>
      <w:snapToGrid w:val="0"/>
      <w:spacing w:before="480" w:line="100" w:lineRule="exact"/>
      <w:jc w:val="left"/>
      <w:rPr>
        <w:i/>
        <w:sz w:val="16"/>
        <w:szCs w:val="16"/>
      </w:rPr>
    </w:pPr>
  </w:p>
  <w:p>
    <w:pPr>
      <w:tabs>
        <w:tab w:val="right" w:pos="10466"/>
      </w:tabs>
      <w:adjustRightInd w:val="0"/>
      <w:snapToGrid w:val="0"/>
      <w:spacing w:line="240" w:lineRule="auto"/>
      <w:rPr>
        <w:sz w:val="16"/>
        <w:szCs w:val="16"/>
        <w:lang w:val="fr-CH"/>
      </w:rPr>
    </w:pPr>
    <w:r>
      <w:rPr>
        <w:i/>
        <w:sz w:val="16"/>
        <w:szCs w:val="16"/>
      </w:rPr>
      <w:t xml:space="preserve">Foods </w:t>
    </w:r>
    <w:r>
      <w:rPr>
        <w:b/>
        <w:bCs/>
        <w:iCs/>
        <w:sz w:val="16"/>
        <w:szCs w:val="16"/>
      </w:rPr>
      <w:t>2024</w:t>
    </w:r>
    <w:r>
      <w:rPr>
        <w:bCs/>
        <w:iCs/>
        <w:sz w:val="16"/>
        <w:szCs w:val="16"/>
      </w:rPr>
      <w:t>,</w:t>
    </w:r>
    <w:r>
      <w:rPr>
        <w:bCs/>
        <w:i/>
        <w:iCs/>
        <w:sz w:val="16"/>
        <w:szCs w:val="16"/>
      </w:rPr>
      <w:t xml:space="preserve"> 13</w:t>
    </w:r>
    <w:r>
      <w:rPr>
        <w:bCs/>
        <w:iCs/>
        <w:sz w:val="16"/>
        <w:szCs w:val="16"/>
      </w:rPr>
      <w:t>, x. https://doi.org/10.3390/xxxxx</w:t>
    </w:r>
    <w:r>
      <w:rPr>
        <w:sz w:val="16"/>
        <w:szCs w:val="16"/>
        <w:lang w:val="fr-CH"/>
      </w:rPr>
      <w:tab/>
    </w:r>
    <w:r>
      <w:rPr>
        <w:sz w:val="16"/>
        <w:szCs w:val="16"/>
        <w:lang w:val="fr-CH"/>
      </w:rPr>
      <w:t>www.mdpi.com/journal/</w:t>
    </w:r>
    <w:r>
      <w:rPr>
        <w:sz w:val="16"/>
        <w:szCs w:val="16"/>
      </w:rPr>
      <w:t>foods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40" w:lineRule="auto"/>
      </w:pPr>
      <w:r>
        <w:separator/>
      </w:r>
    </w:p>
  </w:footnote>
  <w:footnote w:type="continuationSeparator" w:id="1">
    <w:p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right" w:pos="10466"/>
      </w:tabs>
      <w:adjustRightInd w:val="0"/>
      <w:snapToGrid w:val="0"/>
      <w:spacing w:line="240" w:lineRule="auto"/>
      <w:rPr>
        <w:sz w:val="16"/>
      </w:rPr>
    </w:pPr>
    <w:r>
      <w:rPr>
        <w:i/>
        <w:sz w:val="16"/>
      </w:rPr>
      <w:t xml:space="preserve">Foods </w:t>
    </w:r>
    <w:r>
      <w:rPr>
        <w:b/>
        <w:sz w:val="16"/>
      </w:rPr>
      <w:t>2024</w:t>
    </w:r>
    <w:r>
      <w:rPr>
        <w:sz w:val="16"/>
      </w:rPr>
      <w:t>,</w:t>
    </w:r>
    <w:r>
      <w:rPr>
        <w:i/>
        <w:sz w:val="16"/>
      </w:rPr>
      <w:t xml:space="preserve"> 13</w:t>
    </w:r>
    <w:r>
      <w:rPr>
        <w:sz w:val="16"/>
      </w:rPr>
      <w:t>, x FOR PEER REVIEW</w:t>
    </w:r>
    <w:r>
      <w:rPr>
        <w:sz w:val="16"/>
      </w:rPr>
      <w:tab/>
    </w:r>
    <w:r>
      <w:rPr>
        <w:sz w:val="16"/>
      </w:rPr>
      <w:fldChar w:fldCharType="begin"/>
    </w:r>
    <w:r>
      <w:rPr>
        <w:sz w:val="16"/>
      </w:rPr>
      <w:instrText xml:space="preserve"> PAGE   \* MERGEFORMAT </w:instrText>
    </w:r>
    <w:r>
      <w:rPr>
        <w:sz w:val="16"/>
      </w:rPr>
      <w:fldChar w:fldCharType="separate"/>
    </w:r>
    <w:r>
      <w:rPr>
        <w:sz w:val="16"/>
      </w:rPr>
      <w:t>2</w:t>
    </w:r>
    <w:r>
      <w:rPr>
        <w:sz w:val="16"/>
      </w:rPr>
      <w:fldChar w:fldCharType="end"/>
    </w:r>
    <w:r>
      <w:rPr>
        <w:sz w:val="16"/>
      </w:rPr>
      <w:t xml:space="preserve"> of </w:t>
    </w:r>
    <w:r>
      <w:rPr>
        <w:sz w:val="16"/>
      </w:rPr>
      <w:fldChar w:fldCharType="begin"/>
    </w:r>
    <w:r>
      <w:rPr>
        <w:sz w:val="16"/>
      </w:rPr>
      <w:instrText xml:space="preserve"> NUMPAGES   \* MERGEFORMAT </w:instrText>
    </w:r>
    <w:r>
      <w:rPr>
        <w:sz w:val="16"/>
      </w:rPr>
      <w:fldChar w:fldCharType="separate"/>
    </w:r>
    <w:r>
      <w:rPr>
        <w:sz w:val="16"/>
      </w:rPr>
      <w:t>5</w:t>
    </w:r>
    <w:r>
      <w:rPr>
        <w:sz w:val="16"/>
      </w:rPr>
      <w:fldChar w:fldCharType="end"/>
    </w:r>
  </w:p>
  <w:p>
    <w:pPr>
      <w:pBdr>
        <w:bottom w:val="single" w:color="000000" w:sz="4" w:space="1"/>
      </w:pBdr>
      <w:tabs>
        <w:tab w:val="right" w:pos="8844"/>
      </w:tabs>
      <w:adjustRightInd w:val="0"/>
      <w:snapToGrid w:val="0"/>
      <w:spacing w:after="480" w:line="100" w:lineRule="exact"/>
      <w:jc w:val="left"/>
      <w:rPr>
        <w:sz w:val="16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pBdr>
        <w:bottom w:val="none" w:color="auto" w:sz="0" w:space="0"/>
      </w:pBd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tbl>
    <w:tblPr>
      <w:tblStyle w:val="11"/>
      <w:tblW w:w="10487" w:type="dxa"/>
      <w:tblInd w:w="0" w:type="dxa"/>
      <w:tblLayout w:type="autofit"/>
      <w:tblCellMar>
        <w:top w:w="0" w:type="dxa"/>
        <w:left w:w="0" w:type="dxa"/>
        <w:bottom w:w="0" w:type="dxa"/>
        <w:right w:w="0" w:type="dxa"/>
      </w:tblCellMar>
    </w:tblPr>
    <w:tblGrid>
      <w:gridCol w:w="3679"/>
      <w:gridCol w:w="4535"/>
      <w:gridCol w:w="2273"/>
    </w:tblGrid>
    <w:tr>
      <w:tblPrEx>
        <w:tblCellMar>
          <w:top w:w="0" w:type="dxa"/>
          <w:left w:w="0" w:type="dxa"/>
          <w:bottom w:w="0" w:type="dxa"/>
          <w:right w:w="0" w:type="dxa"/>
        </w:tblCellMar>
      </w:tblPrEx>
      <w:trPr>
        <w:trHeight w:val="686" w:hRule="atLeast"/>
      </w:trPr>
      <w:tc>
        <w:tcPr>
          <w:tcW w:w="3679" w:type="dxa"/>
          <w:shd w:val="clear" w:color="auto" w:fill="auto"/>
          <w:vAlign w:val="center"/>
        </w:tcPr>
        <w:p>
          <w:pPr>
            <w:pStyle w:val="7"/>
            <w:pBdr>
              <w:bottom w:val="none" w:color="auto" w:sz="0" w:space="0"/>
            </w:pBdr>
            <w:jc w:val="left"/>
            <w:rPr>
              <w:rFonts w:eastAsia="等线"/>
              <w:b/>
              <w:bCs/>
            </w:rPr>
          </w:pPr>
          <w:r>
            <w:rPr>
              <w:rFonts w:eastAsia="等线"/>
              <w:b/>
              <w:bCs/>
            </w:rPr>
            <w:drawing>
              <wp:inline distT="0" distB="0" distL="0" distR="0">
                <wp:extent cx="1233170" cy="436245"/>
                <wp:effectExtent l="0" t="0" r="0" b="0"/>
                <wp:docPr id="1" name="Picture 3" descr="C:\Users\home\AppData\Local\Temp\HZ$D.082.3307\foods_logo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Picture 3" descr="C:\Users\home\AppData\Local\Temp\HZ$D.082.3307\foods_logo.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33170" cy="4362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535" w:type="dxa"/>
          <w:shd w:val="clear" w:color="auto" w:fill="auto"/>
          <w:vAlign w:val="center"/>
        </w:tcPr>
        <w:p>
          <w:pPr>
            <w:pStyle w:val="7"/>
            <w:pBdr>
              <w:bottom w:val="none" w:color="auto" w:sz="0" w:space="0"/>
            </w:pBdr>
            <w:rPr>
              <w:rFonts w:eastAsia="等线"/>
              <w:b/>
              <w:bCs/>
            </w:rPr>
          </w:pPr>
        </w:p>
      </w:tc>
      <w:tc>
        <w:tcPr>
          <w:tcW w:w="2273" w:type="dxa"/>
          <w:shd w:val="clear" w:color="auto" w:fill="auto"/>
          <w:vAlign w:val="center"/>
        </w:tcPr>
        <w:p>
          <w:pPr>
            <w:pStyle w:val="7"/>
            <w:pBdr>
              <w:bottom w:val="none" w:color="auto" w:sz="0" w:space="0"/>
            </w:pBdr>
            <w:jc w:val="right"/>
            <w:rPr>
              <w:rFonts w:eastAsia="等线"/>
              <w:b/>
              <w:bCs/>
            </w:rPr>
          </w:pPr>
          <w:r>
            <w:rPr>
              <w:rFonts w:eastAsia="等线"/>
              <w:b/>
              <w:bCs/>
            </w:rPr>
            <w:drawing>
              <wp:inline distT="0" distB="0" distL="0" distR="0">
                <wp:extent cx="539750" cy="359410"/>
                <wp:effectExtent l="0" t="0" r="0" b="2540"/>
                <wp:docPr id="451294788" name="Picture 1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451294788" name="Picture 1"/>
                        <pic:cNvPicPr/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40000" cy="360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>
    <w:pPr>
      <w:pBdr>
        <w:bottom w:val="single" w:color="000000" w:sz="4" w:space="1"/>
      </w:pBdr>
      <w:adjustRightInd w:val="0"/>
      <w:snapToGrid w:val="0"/>
      <w:spacing w:line="100" w:lineRule="exact"/>
      <w:jc w:val="left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18B468F5"/>
    <w:multiLevelType w:val="multilevel"/>
    <w:tmpl w:val="18B468F5"/>
    <w:lvl w:ilvl="0" w:tentative="0">
      <w:start w:val="1"/>
      <w:numFmt w:val="bullet"/>
      <w:pStyle w:val="38"/>
      <w:lvlText w:val=""/>
      <w:lvlJc w:val="left"/>
      <w:pPr>
        <w:ind w:left="3033" w:hanging="425"/>
      </w:pPr>
      <w:rPr>
        <w:rFonts w:hint="default" w:ascii="Symbol" w:hAnsi="Symbol"/>
        <w:b w:val="0"/>
        <w:i w:val="0"/>
        <w:sz w:val="20"/>
        <w:vertAlign w:val="baseline"/>
      </w:rPr>
    </w:lvl>
    <w:lvl w:ilvl="1" w:tentative="0">
      <w:start w:val="1"/>
      <w:numFmt w:val="lowerLetter"/>
      <w:lvlText w:val="%2."/>
      <w:lvlJc w:val="left"/>
      <w:pPr>
        <w:ind w:left="1440" w:hanging="360"/>
      </w:pPr>
    </w:lvl>
    <w:lvl w:ilvl="2" w:tentative="0">
      <w:start w:val="1"/>
      <w:numFmt w:val="lowerRoman"/>
      <w:lvlText w:val="%3."/>
      <w:lvlJc w:val="right"/>
      <w:pPr>
        <w:ind w:left="2160" w:hanging="180"/>
      </w:pPr>
    </w:lvl>
    <w:lvl w:ilvl="3" w:tentative="0">
      <w:start w:val="1"/>
      <w:numFmt w:val="decimal"/>
      <w:lvlText w:val="%4."/>
      <w:lvlJc w:val="left"/>
      <w:pPr>
        <w:ind w:left="2880" w:hanging="360"/>
      </w:pPr>
    </w:lvl>
    <w:lvl w:ilvl="4" w:tentative="0">
      <w:start w:val="1"/>
      <w:numFmt w:val="lowerLetter"/>
      <w:lvlText w:val="%5."/>
      <w:lvlJc w:val="left"/>
      <w:pPr>
        <w:ind w:left="3600" w:hanging="360"/>
      </w:pPr>
    </w:lvl>
    <w:lvl w:ilvl="5" w:tentative="0">
      <w:start w:val="1"/>
      <w:numFmt w:val="lowerRoman"/>
      <w:lvlText w:val="%6."/>
      <w:lvlJc w:val="right"/>
      <w:pPr>
        <w:ind w:left="4320" w:hanging="180"/>
      </w:pPr>
    </w:lvl>
    <w:lvl w:ilvl="6" w:tentative="0">
      <w:start w:val="1"/>
      <w:numFmt w:val="decimal"/>
      <w:lvlText w:val="%7."/>
      <w:lvlJc w:val="left"/>
      <w:pPr>
        <w:ind w:left="5040" w:hanging="360"/>
      </w:pPr>
    </w:lvl>
    <w:lvl w:ilvl="7" w:tentative="0">
      <w:start w:val="1"/>
      <w:numFmt w:val="lowerLetter"/>
      <w:lvlText w:val="%8."/>
      <w:lvlJc w:val="left"/>
      <w:pPr>
        <w:ind w:left="5760" w:hanging="360"/>
      </w:pPr>
    </w:lvl>
    <w:lvl w:ilvl="8" w:tentative="0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44DA1CB9"/>
    <w:multiLevelType w:val="multilevel"/>
    <w:tmpl w:val="44DA1CB9"/>
    <w:lvl w:ilvl="0" w:tentative="0">
      <w:start w:val="1"/>
      <w:numFmt w:val="decimal"/>
      <w:pStyle w:val="49"/>
      <w:lvlText w:val="%1."/>
      <w:lvlJc w:val="left"/>
      <w:pPr>
        <w:ind w:left="425" w:hanging="425"/>
      </w:pPr>
      <w:rPr>
        <w:b w:val="0"/>
        <w:i w:val="0"/>
        <w:sz w:val="20"/>
        <w:vertAlign w:val="baseline"/>
      </w:rPr>
    </w:lvl>
    <w:lvl w:ilvl="1" w:tentative="0">
      <w:start w:val="1"/>
      <w:numFmt w:val="lowerLetter"/>
      <w:lvlText w:val="%2."/>
      <w:lvlJc w:val="left"/>
      <w:pPr>
        <w:ind w:left="1440" w:hanging="360"/>
      </w:pPr>
    </w:lvl>
    <w:lvl w:ilvl="2" w:tentative="0">
      <w:start w:val="1"/>
      <w:numFmt w:val="lowerRoman"/>
      <w:lvlText w:val="%3."/>
      <w:lvlJc w:val="right"/>
      <w:pPr>
        <w:ind w:left="2160" w:hanging="180"/>
      </w:pPr>
    </w:lvl>
    <w:lvl w:ilvl="3" w:tentative="0">
      <w:start w:val="1"/>
      <w:numFmt w:val="decimal"/>
      <w:lvlText w:val="%4."/>
      <w:lvlJc w:val="left"/>
      <w:pPr>
        <w:ind w:left="2880" w:hanging="360"/>
      </w:pPr>
    </w:lvl>
    <w:lvl w:ilvl="4" w:tentative="0">
      <w:start w:val="1"/>
      <w:numFmt w:val="lowerLetter"/>
      <w:lvlText w:val="%5."/>
      <w:lvlJc w:val="left"/>
      <w:pPr>
        <w:ind w:left="3600" w:hanging="360"/>
      </w:pPr>
    </w:lvl>
    <w:lvl w:ilvl="5" w:tentative="0">
      <w:start w:val="1"/>
      <w:numFmt w:val="lowerRoman"/>
      <w:lvlText w:val="%6."/>
      <w:lvlJc w:val="right"/>
      <w:pPr>
        <w:ind w:left="4320" w:hanging="180"/>
      </w:pPr>
    </w:lvl>
    <w:lvl w:ilvl="6" w:tentative="0">
      <w:start w:val="1"/>
      <w:numFmt w:val="decimal"/>
      <w:lvlText w:val="%7."/>
      <w:lvlJc w:val="left"/>
      <w:pPr>
        <w:ind w:left="5040" w:hanging="360"/>
      </w:pPr>
    </w:lvl>
    <w:lvl w:ilvl="7" w:tentative="0">
      <w:start w:val="1"/>
      <w:numFmt w:val="lowerLetter"/>
      <w:lvlText w:val="%8."/>
      <w:lvlJc w:val="left"/>
      <w:pPr>
        <w:ind w:left="5760" w:hanging="360"/>
      </w:pPr>
    </w:lvl>
    <w:lvl w:ilvl="8" w:tentative="0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6D7F75A7"/>
    <w:multiLevelType w:val="multilevel"/>
    <w:tmpl w:val="6D7F75A7"/>
    <w:lvl w:ilvl="0" w:tentative="0">
      <w:start w:val="1"/>
      <w:numFmt w:val="decimal"/>
      <w:pStyle w:val="37"/>
      <w:lvlText w:val="%1."/>
      <w:lvlJc w:val="left"/>
      <w:pPr>
        <w:ind w:left="3033" w:hanging="425"/>
      </w:pPr>
      <w:rPr>
        <w:b w:val="0"/>
        <w:i w:val="0"/>
        <w:sz w:val="20"/>
        <w:vertAlign w:val="baseline"/>
      </w:rPr>
    </w:lvl>
    <w:lvl w:ilvl="1" w:tentative="0">
      <w:start w:val="1"/>
      <w:numFmt w:val="lowerLetter"/>
      <w:lvlText w:val="%2."/>
      <w:lvlJc w:val="left"/>
      <w:pPr>
        <w:ind w:left="4048" w:hanging="360"/>
      </w:pPr>
    </w:lvl>
    <w:lvl w:ilvl="2" w:tentative="0">
      <w:start w:val="1"/>
      <w:numFmt w:val="lowerRoman"/>
      <w:lvlText w:val="%3."/>
      <w:lvlJc w:val="right"/>
      <w:pPr>
        <w:ind w:left="4768" w:hanging="180"/>
      </w:pPr>
    </w:lvl>
    <w:lvl w:ilvl="3" w:tentative="0">
      <w:start w:val="1"/>
      <w:numFmt w:val="decimal"/>
      <w:lvlText w:val="%4."/>
      <w:lvlJc w:val="left"/>
      <w:pPr>
        <w:ind w:left="5488" w:hanging="360"/>
      </w:pPr>
    </w:lvl>
    <w:lvl w:ilvl="4" w:tentative="0">
      <w:start w:val="1"/>
      <w:numFmt w:val="lowerLetter"/>
      <w:lvlText w:val="%5."/>
      <w:lvlJc w:val="left"/>
      <w:pPr>
        <w:ind w:left="6208" w:hanging="360"/>
      </w:pPr>
    </w:lvl>
    <w:lvl w:ilvl="5" w:tentative="0">
      <w:start w:val="1"/>
      <w:numFmt w:val="lowerRoman"/>
      <w:lvlText w:val="%6."/>
      <w:lvlJc w:val="right"/>
      <w:pPr>
        <w:ind w:left="6928" w:hanging="180"/>
      </w:pPr>
    </w:lvl>
    <w:lvl w:ilvl="6" w:tentative="0">
      <w:start w:val="1"/>
      <w:numFmt w:val="decimal"/>
      <w:lvlText w:val="%7."/>
      <w:lvlJc w:val="left"/>
      <w:pPr>
        <w:ind w:left="7648" w:hanging="360"/>
      </w:pPr>
    </w:lvl>
    <w:lvl w:ilvl="7" w:tentative="0">
      <w:start w:val="1"/>
      <w:numFmt w:val="lowerLetter"/>
      <w:lvlText w:val="%8."/>
      <w:lvlJc w:val="left"/>
      <w:pPr>
        <w:ind w:left="8368" w:hanging="360"/>
      </w:pPr>
    </w:lvl>
    <w:lvl w:ilvl="8" w:tentative="0">
      <w:start w:val="1"/>
      <w:numFmt w:val="lowerRoman"/>
      <w:lvlText w:val="%9."/>
      <w:lvlJc w:val="right"/>
      <w:pPr>
        <w:ind w:left="9088" w:hanging="180"/>
      </w:pPr>
    </w:lvl>
  </w:abstractNum>
  <w:abstractNum w:abstractNumId="3">
    <w:nsid w:val="721A26FB"/>
    <w:multiLevelType w:val="multilevel"/>
    <w:tmpl w:val="721A26FB"/>
    <w:lvl w:ilvl="0" w:tentative="0">
      <w:start w:val="1"/>
      <w:numFmt w:val="decimal"/>
      <w:pStyle w:val="84"/>
      <w:lvlText w:val="%1."/>
      <w:lvlJc w:val="left"/>
      <w:pPr>
        <w:ind w:left="425" w:hanging="425"/>
      </w:pPr>
      <w:rPr>
        <w:vertAlign w:val="superscript"/>
      </w:rPr>
    </w:lvl>
    <w:lvl w:ilvl="1" w:tentative="0">
      <w:start w:val="1"/>
      <w:numFmt w:val="lowerLetter"/>
      <w:lvlText w:val="%2."/>
      <w:lvlJc w:val="left"/>
      <w:pPr>
        <w:ind w:left="1440" w:hanging="360"/>
      </w:pPr>
    </w:lvl>
    <w:lvl w:ilvl="2" w:tentative="0">
      <w:start w:val="1"/>
      <w:numFmt w:val="lowerRoman"/>
      <w:lvlText w:val="%3."/>
      <w:lvlJc w:val="right"/>
      <w:pPr>
        <w:ind w:left="2160" w:hanging="180"/>
      </w:pPr>
    </w:lvl>
    <w:lvl w:ilvl="3" w:tentative="0">
      <w:start w:val="1"/>
      <w:numFmt w:val="decimal"/>
      <w:lvlText w:val="%4."/>
      <w:lvlJc w:val="left"/>
      <w:pPr>
        <w:ind w:left="2880" w:hanging="360"/>
      </w:pPr>
    </w:lvl>
    <w:lvl w:ilvl="4" w:tentative="0">
      <w:start w:val="1"/>
      <w:numFmt w:val="lowerLetter"/>
      <w:lvlText w:val="%5."/>
      <w:lvlJc w:val="left"/>
      <w:pPr>
        <w:ind w:left="3600" w:hanging="360"/>
      </w:pPr>
    </w:lvl>
    <w:lvl w:ilvl="5" w:tentative="0">
      <w:start w:val="1"/>
      <w:numFmt w:val="lowerRoman"/>
      <w:lvlText w:val="%6."/>
      <w:lvlJc w:val="right"/>
      <w:pPr>
        <w:ind w:left="4320" w:hanging="180"/>
      </w:pPr>
    </w:lvl>
    <w:lvl w:ilvl="6" w:tentative="0">
      <w:start w:val="1"/>
      <w:numFmt w:val="decimal"/>
      <w:lvlText w:val="%7."/>
      <w:lvlJc w:val="left"/>
      <w:pPr>
        <w:ind w:left="5040" w:hanging="360"/>
      </w:pPr>
    </w:lvl>
    <w:lvl w:ilvl="7" w:tentative="0">
      <w:start w:val="1"/>
      <w:numFmt w:val="lowerLetter"/>
      <w:lvlText w:val="%8."/>
      <w:lvlJc w:val="left"/>
      <w:pPr>
        <w:ind w:left="5760" w:hanging="360"/>
      </w:pPr>
    </w:lvl>
    <w:lvl w:ilvl="8" w:tentative="0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1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bordersDoNotSurroundHeader w:val="0"/>
  <w:bordersDoNotSurroundFooter w:val="0"/>
  <w:stylePaneFormatFilter w:val="1021" w:allStyles="1" w:customStyles="0" w:latentStyles="0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ocumentProtection w:enforcement="0"/>
  <w:defaultTabStop w:val="510"/>
  <w:autoHyphenation/>
  <w:drawingGridHorizontalSpacing w:val="100"/>
  <w:drawingGridVerticalSpacing w:val="163"/>
  <w:displayHorizontalDrawingGridEvery w:val="1"/>
  <w:displayVerticalDrawingGridEvery w:val="1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DMxODBhYmY5NzcxZTllNzVhZjFmODEyMzc1MTk5YTMifQ=="/>
    <w:docVar w:name="NE.Ref{002C4E74-F62B-4E69-9EB8-E860C03B568F}" w:val=" ADDIN NE.Ref.{002C4E74-F62B-4E69-9EB8-E860C03B568F}&lt;Citation&gt;&lt;Group&gt;&lt;References&gt;&lt;Item&gt;&lt;ID&gt;229&lt;/ID&gt;&lt;UID&gt;{2E499376-F651-4312-8EE6-D1AD0AC42F2B}&lt;/UID&gt;&lt;Title&gt;Chamomile: A Review of Its Traditional Uses, Chemical Constituents,  Pharmacological Activities and Quality Control Studies&lt;/Title&gt;&lt;Template&gt;Journal Article&lt;/Template&gt;&lt;Star&gt;0&lt;/Star&gt;&lt;Tag&gt;0&lt;/Tag&gt;&lt;Author&gt;Dai, Y L; Li, Y; Wang, Q; Niu, F J; Li, K W; Wang, Y Y; Wang, J; Zhou, C Z; Gao, L N&lt;/Author&gt;&lt;Year&gt;2022&lt;/Year&gt;&lt;Details&gt;&lt;_accession_num&gt;36615326&lt;/_accession_num&gt;&lt;_author_adr&gt;College of Pharmacy, Shandong University of Traditional Chinese Medicine, Ji&amp;apos;nan  250355, China.; College of Pharmacy, Shandong University of Traditional Chinese Medicine, Ji&amp;apos;nan  250355, China.; College of Pharmacy, Shandong University of Traditional Chinese Medicine, Ji&amp;apos;nan  250355, China.; College of Pharmacy, Shandong University of Traditional Chinese Medicine, Ji&amp;apos;nan  250355, China.; College of Pharmacy, Shandong University of Traditional Chinese Medicine, Ji&amp;apos;nan  250355, China.; College of Pharmacy, Shandong University of Traditional Chinese Medicine, Ji&amp;apos;nan  250355, China.; College of Pharmacy, Shandong University of Traditional Chinese Medicine, Ji&amp;apos;nan  250355, China.; College of Pharmacy, Shandong University of Traditional Chinese Medicine, Ji&amp;apos;nan  250355, China.; College of Pharmacy, Shandong University of Traditional Chinese Medicine, Ji&amp;apos;nan  250355, China.&lt;/_author_adr&gt;&lt;_collection_scope&gt;SCIE&lt;/_collection_scope&gt;&lt;_created&gt;65320829&lt;/_created&gt;&lt;_date&gt;2022-12-23&lt;/_date&gt;&lt;_date_display&gt;2022 Dec 23&lt;/_date_display&gt;&lt;_db_updated&gt;PubMed&lt;/_db_updated&gt;&lt;_doi&gt;10.3390/molecules28010133&lt;/_doi&gt;&lt;_impact_factor&gt;   4.600&lt;/_impact_factor&gt;&lt;_isbn&gt;1420-3049 (Electronic); 1420-3049 (Linking)&lt;/_isbn&gt;&lt;_issue&gt;1&lt;/_issue&gt;&lt;_journal&gt;Molecules&lt;/_journal&gt;&lt;_keywords&gt;Chamaemelum nobile (L.) all.; Matricaria chamomilia L.; chamomile; chemical constituents; pharmacological activities&lt;/_keywords&gt;&lt;_language&gt;eng&lt;/_language&gt;&lt;_modified&gt;65320829&lt;/_modified&gt;&lt;_social_category&gt;生化与分子生物学(3) &amp;amp; 化学综合(3)&lt;/_social_category&gt;&lt;_subject_headings&gt;*Chamomile; Plant Extracts/chemistry; *Oils, Volatile/pharmacology/chemistry; Terpenes; Quality Control; Medicine, Traditional&lt;/_subject_headings&gt;&lt;_tertiary_title&gt;Molecules (Basel, Switzerland)&lt;/_tertiary_title&gt;&lt;_type_work&gt;Journal Article; Review&lt;/_type_work&gt;&lt;_url&gt;http://www.ncbi.nlm.nih.gov/entrez/query.fcgi?cmd=Retrieve&amp;amp;db=pubmed&amp;amp;dopt=Abstract&amp;amp;list_uids=36615326&amp;amp;query_hl=1&lt;/_url&gt;&lt;_volume&gt;28&lt;/_volume&gt;&lt;/Details&gt;&lt;Extra&gt;&lt;DBUID&gt;{7A4864DA-D1F8-4ACD-BB24-0EAEEAFDB637}&lt;/DBUID&gt;&lt;/Extra&gt;&lt;/Item&gt;&lt;/References&gt;&lt;/Group&gt;&lt;/Citation&gt;_x000a_"/>
    <w:docVar w:name="NE.Ref{089553C4-DC1A-488D-A183-BA6779218A4D}" w:val=" ADDIN NE.Ref.{089553C4-DC1A-488D-A183-BA6779218A4D}&lt;Citation&gt;&lt;Group&gt;&lt;References&gt;&lt;Item&gt;&lt;ID&gt;243&lt;/ID&gt;&lt;UID&gt;{D5E69822-04B3-43E8-8B0D-AAC6FC55272D}&lt;/UID&gt;&lt;Title&gt;Content and composition of the essential oil of Chamomilla recutita (L.)  Rauschert from some European countries&lt;/Title&gt;&lt;Template&gt;Journal Article&lt;/Template&gt;&lt;Star&gt;0&lt;/Star&gt;&lt;Tag&gt;0&lt;/Tag&gt;&lt;Author&gt;Orav, A; Raal, A; Arak, E&lt;/Author&gt;&lt;Year&gt;2010&lt;/Year&gt;&lt;Details&gt;&lt;_accession_num&gt;20013472&lt;/_accession_num&gt;&lt;_author_adr&gt;Institute of Chemistry, Tallinn University of Technology, Tallinn, Estonia.&lt;/_author_adr&gt;&lt;_collection_scope&gt;SCIE&lt;/_collection_scope&gt;&lt;_created&gt;65322061&lt;/_created&gt;&lt;_date&gt;2010-01-20&lt;/_date&gt;&lt;_date_display&gt;2010&lt;/_date_display&gt;&lt;_db_updated&gt;PubMed&lt;/_db_updated&gt;&lt;_doi&gt;10.1080/14786410802560690&lt;/_doi&gt;&lt;_impact_factor&gt;   2.200&lt;/_impact_factor&gt;&lt;_isbn&gt;1478-6427 (Electronic); 1478-6419 (Linking)&lt;/_isbn&gt;&lt;_issue&gt;1&lt;/_issue&gt;&lt;_journal&gt;Nat Prod Res&lt;/_journal&gt;&lt;_language&gt;eng&lt;/_language&gt;&lt;_modified&gt;65322061&lt;/_modified&gt;&lt;_pages&gt;48-55&lt;/_pages&gt;&lt;_social_category&gt;应用化学(3) &amp;amp; 药物化学(3)&lt;/_social_category&gt;&lt;_subject_headings&gt;Apigenin/chemistry; Chromatography, Gas; Europe; Matricaria/*chemistry; Monocyclic Sesquiterpenes; Oils, Volatile/*analysis/isolation &amp;amp; purification; Sesquiterpenes/chemistry; Xylenes/chemistry&lt;/_subject_headings&gt;&lt;_tertiary_title&gt;Natural product research&lt;/_tertiary_title&gt;&lt;_type_work&gt;Journal Article; Research Support, Non-U.S. Gov&amp;apos;t&lt;/_type_work&gt;&lt;_url&gt;http://www.ncbi.nlm.nih.gov/entrez/query.fcgi?cmd=Retrieve&amp;amp;db=pubmed&amp;amp;dopt=Abstract&amp;amp;list_uids=20013472&amp;amp;query_hl=1&lt;/_url&gt;&lt;_volume&gt;24&lt;/_volume&gt;&lt;/Details&gt;&lt;Extra&gt;&lt;DBUID&gt;{7A4864DA-D1F8-4ACD-BB24-0EAEEAFDB637}&lt;/DBUID&gt;&lt;/Extra&gt;&lt;/Item&gt;&lt;/References&gt;&lt;/Group&gt;&lt;Group&gt;&lt;References&gt;&lt;Item&gt;&lt;ID&gt;263&lt;/ID&gt;&lt;UID&gt;{B19FB1AC-32CF-4447-8BA4-D49BF12A6793}&lt;/UID&gt;&lt;Title&gt;Thermolabile essential oils, aromas and flavours: Degradation pathways, effect of  thermal processing and alteration of sensory quality&lt;/Title&gt;&lt;Template&gt;Journal Article&lt;/Template&gt;&lt;Star&gt;0&lt;/Star&gt;&lt;Tag&gt;0&lt;/Tag&gt;&lt;Author&gt;Mahanta, B P; Bora, P K; Kemprai, P; Borah, G; Lal, M; Haldar, S&lt;/Author&gt;&lt;Year&gt;2021&lt;/Year&gt;&lt;Details&gt;&lt;_accession_num&gt;34112407&lt;/_accession_num&gt;&lt;_author_adr&gt;Agrotechnology and Rural Development Division, CSIR-North East Institute of  Science and Technology (NEIST), Jorhat, Assam 785006, India; AcSIR-Academy of  Scientific and Innovative Research, Ghaziabad, Uttar Pradesh 201002, India.; Agrotechnology and Rural Development Division, CSIR-North East Institute of  Science and Technology (NEIST), Jorhat, Assam 785006, India; AcSIR-Academy of  Scientific and Innovative Research, Ghaziabad, Uttar Pradesh 201002, India.; Agrotechnology and Rural Development Division, CSIR-North East Institute of  Science and Technology (NEIST), Jorhat, Assam 785006, India; AcSIR-Academy of  Scientific and Innovative Research, Ghaziabad, Uttar Pradesh 201002, India.; Agrotechnology and Rural Development Division, CSIR-North East Institute of  Science and Technology (NEIST), Jorhat, Assam 785006, India; AcSIR-Academy of  Scientific and Innovative Research, Ghaziabad, Uttar Pradesh 201002, India.; Agrotechnology and Rural Development Division, CSIR-North East Institute of  Science and Technology (NEIST), Jorhat, Assam 785006, India; AcSIR-Academy of  Scientific and Innovative Research, Ghaziabad, Uttar Pradesh 201002, India.; Agrotechnology and Rural Development Division, CSIR-North East Institute of  Science and Technology (NEIST), Jorhat, Assam 785006, India; AcSIR-Academy of  Scientific and Innovative Research, Ghaziabad, Uttar Pradesh 201002, India.  Electronic address: saikatchembiol@gmail.com.&lt;/_author_adr&gt;&lt;_collection_scope&gt;SCIE;EI&lt;/_collection_scope&gt;&lt;_created&gt;65339796&lt;/_created&gt;&lt;_date&gt;2021-07-01&lt;/_date&gt;&lt;_date_display&gt;2021 Jul&lt;/_date_display&gt;&lt;_db_updated&gt;PubMed&lt;/_db_updated&gt;&lt;_doi&gt;10.1016/j.foodres.2021.110404&lt;/_doi&gt;&lt;_impact_factor&gt;   8.100&lt;/_impact_factor&gt;&lt;_isbn&gt;1873-7145 (Electronic); 0963-9969 (Linking)&lt;/_isbn&gt;&lt;_journal&gt;Food Res Int&lt;/_journal&gt;&lt;_keywords&gt;Aromatic crop; Post-harvest processing; Sensory analysis; Thermal degradation&lt;/_keywords&gt;&lt;_language&gt;eng&lt;/_language&gt;&lt;_modified&gt;65339796&lt;/_modified&gt;&lt;_ori_publication&gt;Copyright (c) 2021 Elsevier Ltd. All rights reserved.&lt;/_ori_publication&gt;&lt;_pages&gt;110404&lt;/_pages&gt;&lt;_social_category&gt;食品科技(1)&lt;/_social_category&gt;&lt;_subject_headings&gt;Flavoring Agents; Food Handling; *Odorants/analysis; *Oils, Volatile; Taste&lt;/_subject_headings&gt;&lt;_tertiary_title&gt;Food research international (Ottawa, Ont.)&lt;/_tertiary_title&gt;&lt;_type_work&gt;Journal Article; Research Support, Non-U.S. Gov&amp;apos;t; Review&lt;/_type_work&gt;&lt;_url&gt;http://www.ncbi.nlm.nih.gov/entrez/query.fcgi?cmd=Retrieve&amp;amp;db=pubmed&amp;amp;dopt=Abstract&amp;amp;list_uids=34112407&amp;amp;query_hl=1&lt;/_url&gt;&lt;_volume&gt;145&lt;/_volume&gt;&lt;/Details&gt;&lt;Extra&gt;&lt;DBUID&gt;{7A4864DA-D1F8-4ACD-BB24-0EAEEAFDB637}&lt;/DBUID&gt;&lt;/Extra&gt;&lt;/Item&gt;&lt;/References&gt;&lt;/Group&gt;&lt;/Citation&gt;_x000a_"/>
    <w:docVar w:name="NE.Ref{0A3BAC7E-5F81-452E-9E91-501904BAFED6}" w:val=" ADDIN NE.Ref.{0A3BAC7E-5F81-452E-9E91-501904BAFED6}&lt;Citation&gt;&lt;Group&gt;&lt;References&gt;&lt;Item&gt;&lt;ID&gt;257&lt;/ID&gt;&lt;UID&gt;{0E258C73-47CC-4D16-92DB-DD930BBB9E67}&lt;/UID&gt;&lt;Title&gt;Effect of Applying Different Levels of Nitrogen Fertilizer on Growth and Essential Oil of Chamomile ( L.)&lt;/Title&gt;&lt;Template&gt;Journal Article&lt;/Template&gt;&lt;Star&gt;0&lt;/Star&gt;&lt;Tag&gt;0&lt;/Tag&gt;&lt;Author&gt;Alhasan, Ali Sabah; Khadim, Ahmed A; Al-Ameri, Dalal Tareq; Saleh, Osama S; Al-Alwash, Firas Hadi Jabber; Kadkim, Hawraa Rahim&lt;/Author&gt;&lt;Year&gt;2022&lt;/Year&gt;&lt;Details&gt;&lt;_created&gt;65332191&lt;/_created&gt;&lt;_db_provider&gt;北京万方数据股份有限公司&lt;/_db_provider&gt;&lt;_db_updated&gt;Wanfangdata&lt;/_db_updated&gt;&lt;_doi&gt;10.1088/1755-1315/1060/1/012102&lt;/_doi&gt;&lt;_isbn&gt;1755-1307&lt;/_isbn&gt;&lt;_issue&gt;1&lt;/_issue&gt;&lt;_journal&gt;IOP Conference Series:Earth and Environmental Science&lt;/_journal&gt;&lt;_keywords&gt;Chamomile; Medicinal herb; Essential oil; Nitrogen supply; Flower number&lt;/_keywords&gt;&lt;_language&gt;eng&lt;/_language&gt;&lt;_modified&gt;65332191&lt;/_modified&gt;&lt;_url&gt;https://d.wanfangdata.com.cn/periodical/ChlQZXJpb2RpY2FsRU5HTmV3UzIwMjMwODMxEhFxazNlXzAwMDAzMDQyNzc2NRoIemt4NWx6bGs%3D&lt;/_url&gt;&lt;_volume&gt;1060&lt;/_volume&gt;&lt;/Details&gt;&lt;Extra&gt;&lt;DBUID&gt;{7A4864DA-D1F8-4ACD-BB24-0EAEEAFDB637}&lt;/DBUID&gt;&lt;/Extra&gt;&lt;/Item&gt;&lt;/References&gt;&lt;/Group&gt;&lt;/Citation&gt;_x000a_"/>
    <w:docVar w:name="NE.Ref{0D516570-4C6F-4FD8-AE36-40191B553DD2}" w:val=" ADDIN NE.Ref.{0D516570-4C6F-4FD8-AE36-40191B553DD2}&lt;Citation&gt;&lt;Group&gt;&lt;References&gt;&lt;Item&gt;&lt;ID&gt;265&lt;/ID&gt;&lt;UID&gt;{8B19E942-1967-48B2-B439-499BE7E06C95}&lt;/UID&gt;&lt;Title&gt;α-红没药醇对胶质母细胞瘤细胞迁移和侵袭的影响&lt;/Title&gt;&lt;Template&gt;Journal Article&lt;/Template&gt;&lt;Star&gt;0&lt;/Star&gt;&lt;Tag&gt;0&lt;/Tag&gt;&lt;Author&gt;闫海斌; 徐如祥&lt;/Author&gt;&lt;Year&gt;2018&lt;/Year&gt;&lt;Details&gt;&lt;_author_aff&gt;解放军总医院;陆军总医院附属八一脑科医院;&lt;/_author_aff&gt;&lt;_cited_count&gt;14&lt;/_cited_count&gt;&lt;_collection_scope&gt;PKU&lt;/_collection_scope&gt;&lt;_created&gt;65376625&lt;/_created&gt;&lt;_date&gt;2018-07-30&lt;/_date&gt;&lt;_db_updated&gt;CNKI - Reference&lt;/_db_updated&gt;&lt;_issue&gt;08&lt;/_issue&gt;&lt;_journal&gt;解放军医学院学报&lt;/_journal&gt;&lt;_keywords&gt;α-红没药醇;胶质母细胞瘤;迁移;侵袭;c-Met&lt;/_keywords&gt;&lt;_modified&gt;65376625&lt;/_modified&gt;&lt;_pages&gt;699-706&lt;/_pages&gt;&lt;_url&gt;https://link.cnki.net/urlid/10.1117.R.20180730.0959.002&lt;/_url&gt;&lt;_volume&gt;39&lt;/_volume&gt;&lt;_translated_author&gt;Yan, Hai bin;Xu, Ru xiang&lt;/_translated_author&gt;&lt;/Details&gt;&lt;Extra&gt;&lt;DBUID&gt;{7A4864DA-D1F8-4ACD-BB24-0EAEEAFDB637}&lt;/DBUID&gt;&lt;/Extra&gt;&lt;/Item&gt;&lt;/References&gt;&lt;/Group&gt;&lt;/Citation&gt;_x000a_"/>
    <w:docVar w:name="NE.Ref{1E9A92A6-1F71-4F73-93AE-285A61E06869}" w:val=" ADDIN NE.Ref.{1E9A92A6-1F71-4F73-93AE-285A61E06869}&lt;Citation&gt;&lt;Group&gt;&lt;References&gt;&lt;Item&gt;&lt;ID&gt;261&lt;/ID&gt;&lt;UID&gt;{B88751FC-DEBD-4785-BD02-109AEE6457AF}&lt;/UID&gt;&lt;Title&gt;Revisited anti-inflammatory activity of matricine in vitro: Comparison with  chamazulene&lt;/Title&gt;&lt;Template&gt;Journal Article&lt;/Template&gt;&lt;Star&gt;0&lt;/Star&gt;&lt;Tag&gt;0&lt;/Tag&gt;&lt;Author&gt;Flemming, M; Kraus, B; Rascle, A; Jurgenliemk, G; Fuchs, S; Furst, R; Heilmann, J&lt;/Author&gt;&lt;Year&gt;2015&lt;/Year&gt;&lt;Details&gt;&lt;_accession_num&gt;26304764&lt;/_accession_num&gt;&lt;_author_adr&gt;Institut fur Pharmazie, Universitat Regensburg, Universitatsstr. 31, 93053  Regensburg, Germany.; Institut fur Pharmazie, Universitat Regensburg, Universitatsstr. 31, 93053  Regensburg, Germany.; Institut fur Immunologie, Universitat Regensburg, Franz-Josef-Strauss-Allee 11,  93053 Regensburg, Germany.; Institut fur Pharmazie, Universitat Regensburg, Universitatsstr. 31, 93053  Regensburg, Germany.; Institut fur Pharmazeutische Biologie, Goethe-Universitat Frankfurt,  Max-von-Laue-Str. 9, 60438 Frankfurt am Main, Germany.; Institut fur Pharmazeutische Biologie, Goethe-Universitat Frankfurt,  Max-von-Laue-Str. 9, 60438 Frankfurt am Main, Germany.; Institut fur Pharmazie, Universitat Regensburg, Universitatsstr. 31, 93053  Regensburg, Germany. Electronic address: joerg.heilmann@chemie.uni-regensburg.de.&lt;/_author_adr&gt;&lt;_collection_scope&gt;SCIE&lt;/_collection_scope&gt;&lt;_created&gt;65333431&lt;/_created&gt;&lt;_date&gt;2015-10-01&lt;/_date&gt;&lt;_date_display&gt;2015 Oct&lt;/_date_display&gt;&lt;_db_updated&gt;PubMed&lt;/_db_updated&gt;&lt;_doi&gt;10.1016/j.fitote.2015.08.010&lt;/_doi&gt;&lt;_impact_factor&gt;   3.400&lt;/_impact_factor&gt;&lt;_isbn&gt;1873-6971 (Electronic); 0367-326X (Linking)&lt;/_isbn&gt;&lt;_journal&gt;Fitoterapia&lt;/_journal&gt;&lt;_keywords&gt;Anti-inflammatory activity; Chamazulene; ICAM-1; Matricaria recutita; Matricine; NF-kappaB&lt;/_keywords&gt;&lt;_language&gt;eng&lt;/_language&gt;&lt;_modified&gt;65333431&lt;/_modified&gt;&lt;_ori_publication&gt;Copyright (c) 2015 Elsevier B.V. All rights reserved.&lt;/_ori_publication&gt;&lt;_pages&gt;122-8&lt;/_pages&gt;&lt;_social_category&gt;药物化学(3) &amp;amp; 药学(3)&lt;/_social_category&gt;&lt;_subject_headings&gt;Anti-Inflammatory Agents/*pharmacology; Azulenes/*pharmacology; Cells, Cultured; Chamomile/chemistry; Endothelial Cells/*drug effects; Flowers/chemistry; Human Umbilical Vein Endothelial Cells/drug effects; Humans; Intercellular Adhesion Molecule-1/metabolism; Interferon-gamma/pharmacology; Lactones/*pharmacology; Lipopolysaccharides/pharmacology; NF-kappa B/metabolism; Sesquiterpenes/*pharmacology; Sesquiterpenes, Guaiane; Signal Transduction; Tumor Necrosis Factor-alpha/pharmacology&lt;/_subject_headings&gt;&lt;_tertiary_title&gt;Fitoterapia&lt;/_tertiary_title&gt;&lt;_type_work&gt;Comparative Study; Journal Article&lt;/_type_work&gt;&lt;_url&gt;http://www.ncbi.nlm.nih.gov/entrez/query.fcgi?cmd=Retrieve&amp;amp;db=pubmed&amp;amp;dopt=Abstract&amp;amp;list_uids=26304764&amp;amp;query_hl=1&lt;/_url&gt;&lt;_volume&gt;106&lt;/_volume&gt;&lt;/Details&gt;&lt;Extra&gt;&lt;DBUID&gt;{7A4864DA-D1F8-4ACD-BB24-0EAEEAFDB637}&lt;/DBUID&gt;&lt;/Extra&gt;&lt;/Item&gt;&lt;/References&gt;&lt;/Group&gt;&lt;Group&gt;&lt;References&gt;&lt;Item&gt;&lt;ID&gt;262&lt;/ID&gt;&lt;UID&gt;{68387AF8-D49D-442A-94C0-FAC3723374E7}&lt;/UID&gt;&lt;Title&gt;Chamazulene carboxylic acid and matricin: a natural profen and its natural  prodrug, identified through similarity to synthetic drug substances&lt;/Title&gt;&lt;Template&gt;Journal Article&lt;/Template&gt;&lt;Star&gt;0&lt;/Star&gt;&lt;Tag&gt;0&lt;/Tag&gt;&lt;Author&gt;Ramadan, M; Goeters, S; Watzer, B; Krause, E; Lohmann, K; Bauer, R; Hempel, B; Imming, P&lt;/Author&gt;&lt;Year&gt;2006&lt;/Year&gt;&lt;Details&gt;&lt;_accession_num&gt;16872141&lt;/_accession_num&gt;&lt;_author_adr&gt;Institut fuer Pharmazeutische Chemie, Philipps-Universitaet, 35032 Marburg,  Germany.&lt;/_author_adr&gt;&lt;_collection_scope&gt;SCIE&lt;/_collection_scope&gt;&lt;_created&gt;65333436&lt;/_created&gt;&lt;_date&gt;2006-07-01&lt;/_date&gt;&lt;_date_display&gt;2006 Jul&lt;/_date_display&gt;&lt;_db_updated&gt;PubMed&lt;/_db_updated&gt;&lt;_doi&gt;10.1021/np0601556&lt;/_doi&gt;&lt;_impact_factor&gt;   5.100&lt;/_impact_factor&gt;&lt;_isbn&gt;0163-3864 (Print); 0163-3864 (Linking)&lt;/_isbn&gt;&lt;_issue&gt;7&lt;/_issue&gt;&lt;_journal&gt;J Nat Prod&lt;/_journal&gt;&lt;_language&gt;eng&lt;/_language&gt;&lt;_modified&gt;65333436&lt;/_modified&gt;&lt;_pages&gt;1041-5&lt;/_pages&gt;&lt;_social_category&gt;农艺学(2) &amp;amp; 药物化学(2) &amp;amp; 药学(2) &amp;amp; 植物科学(2)&lt;/_social_category&gt;&lt;_subject_headings&gt;Achillea/chemistry; *Anti-Inflammatory Agents, Non-Steroidal; Azulenes; *Carboxylic Acids; *Cycloheptanes; Cyclooxygenase 1/metabolism; *Cyclooxygenase 2 Inhibitors; Germany; *Lactones; Matricaria/chemistry; Molecular Structure; Pharmaceutical Preparations; Prodrugs/chemistry; *Sesquiterpenes; Sesquiterpenes, Guaiane&lt;/_subject_headings&gt;&lt;_tertiary_title&gt;Journal of natural products&lt;/_tertiary_title&gt;&lt;_type_work&gt;Journal Article&lt;/_type_work&gt;&lt;_url&gt;http://www.ncbi.nlm.nih.gov/entrez/query.fcgi?cmd=Retrieve&amp;amp;db=pubmed&amp;amp;dopt=Abstract&amp;amp;list_uids=16872141&amp;amp;query_hl=1&lt;/_url&gt;&lt;_volume&gt;69&lt;/_volume&gt;&lt;/Details&gt;&lt;Extra&gt;&lt;DBUID&gt;{7A4864DA-D1F8-4ACD-BB24-0EAEEAFDB637}&lt;/DBUID&gt;&lt;/Extra&gt;&lt;/Item&gt;&lt;/References&gt;&lt;/Group&gt;&lt;/Citation&gt;_x000a_"/>
    <w:docVar w:name="NE.Ref{2254411B-6405-4DF5-BA0C-6686C2B92257}" w:val=" ADDIN NE.Ref.{2254411B-6405-4DF5-BA0C-6686C2B92257}&lt;Citation&gt;&lt;Group&gt;&lt;References&gt;&lt;Item&gt;&lt;ID&gt;256&lt;/ID&gt;&lt;UID&gt;{E338E42A-5BDB-4228-A6BB-528EBF3BFD88}&lt;/UID&gt;&lt;Title&gt;Heracles Neo超快速气相电子鼻对不同产地、生长年限及采收期黄芪药材品质评价研究&lt;/Title&gt;&lt;Template&gt;Journal Article&lt;/Template&gt;&lt;Star&gt;0&lt;/Star&gt;&lt;Tag&gt;0&lt;/Tag&gt;&lt;Author&gt;余亦婷; 赵乙萌; 袁曦; 曹丽娟; 李西文; 陆兔林; 严国俊&lt;/Author&gt;&lt;Year&gt;2022&lt;/Year&gt;&lt;Details&gt;&lt;_author_aff&gt;南京中医药大学药学院;盛实百草药业有限公司;中国中医科学院中药研究所;&lt;/_author_aff&gt;&lt;_collection_scope&gt;CSCD;PKU&lt;/_collection_scope&gt;&lt;_created&gt;65329707&lt;/_created&gt;&lt;_date&gt;2022-03-03&lt;/_date&gt;&lt;_db_updated&gt;CNKI - Reference&lt;/_db_updated&gt;&lt;_issue&gt;05&lt;/_issue&gt;&lt;_journal&gt;中草药&lt;/_journal&gt;&lt;_keywords&gt;黄芪;超快速气相电子鼻;生长年限;采收期;质量标志物;正己醛&lt;/_keywords&gt;&lt;_modified&gt;65329707&lt;/_modified&gt;&lt;_pages&gt;1328-1337&lt;/_pages&gt;&lt;_url&gt;https://kns.cnki.net/kcms2/article/abstract?v=aHgEko1xHjiaHgpOEK6EymzTA3yf2ZBJU27U7zL8eikovyE0jF-uInzNhNSiFOsOcExDDEgCIWirUz76zXH-Lp2pIWm5STPmvAGUv5BEJtsnJ49m8GXKso5ilH1ofZrpLQY7fqkM1HWELbBvIDQWDQ==&amp;amp;uniplatform=NZKPT&amp;amp;language=CHS&lt;/_url&gt;&lt;_volume&gt;53&lt;/_volume&gt;&lt;_translated_author&gt;Yu, Yi ting;Zhao, Yi meng;Yuan, Xi;Cao, Li juan;Li, Xi wen;Lu, Tu lin;Yan, Guo jun&lt;/_translated_author&gt;&lt;/Details&gt;&lt;Extra&gt;&lt;DBUID&gt;{7A4864DA-D1F8-4ACD-BB24-0EAEEAFDB637}&lt;/DBUID&gt;&lt;/Extra&gt;&lt;/Item&gt;&lt;/References&gt;&lt;/Group&gt;&lt;/Citation&gt;_x000a_"/>
    <w:docVar w:name="NE.Ref{2D13663C-C2F9-43AE-A53D-1C512C73B021}" w:val=" ADDIN NE.Ref.{2D13663C-C2F9-43AE-A53D-1C512C73B021}&lt;Citation&gt;&lt;Group&gt;&lt;References&gt;&lt;Item&gt;&lt;ID&gt;244&lt;/ID&gt;&lt;UID&gt;{183DB3D1-64E8-49A1-8FD7-1353D24E0E1F}&lt;/UID&gt;&lt;Title&gt;Organosulfur volatile profiles in Italian red garlic ( Allium Sativum L .) varieties investigated by HS-SPME /GC-MS and chemometrics&lt;/Title&gt;&lt;Template&gt;Journal Article&lt;/Template&gt;&lt;Star&gt;0&lt;/Star&gt;&lt;Tag&gt;0&lt;/Tag&gt;&lt;Author&gt;Biancolillo, Alessandra; Aloia, Rosaria; Rossi, Leucio; D&amp;apos;Archivio, Angelo Antonio&lt;/Author&gt;&lt;Year&gt;2022&lt;/Year&gt;&lt;Details&gt;&lt;_author_adr&gt;[Alessandra Biancolillo]Univ Aquila, Dipartimento Sci Fis &amp;amp; Chim, Via Vetoio, I-67010 Laquila, Italy;[Rosaria Aloia]Univ Aquila, Dipartimento Sci Fis &amp;amp; Chim, Via Vetoio, I-67010 Laquila, Italy;[Leucio Rossi]Univ Aquila, Dipartimento Sci Fis &amp;amp; Chim, Via Vetoio, I-67010 Laquila, Italy;[Angelo Antonio D&amp;apos;Archivio]Univ Aquila, Dipartimento Sci Fis &amp;amp; Chim, Via Vetoio, I-67010 Laquila, Italy;&lt;/_author_adr&gt;&lt;_author_aff&gt;Univ Aquila;University of L&amp;apos;Aquila;University of L&amp;apos;Aquila Department of Physical and Chemical Sciences;&lt;/_author_aff&gt;&lt;_cate&gt;Food Science &amp;amp; Technology;&lt;/_cate&gt;&lt;_cited_count&gt;18&lt;/_cited_count&gt;&lt;_collection_scope&gt;SCIE&lt;/_collection_scope&gt;&lt;_created&gt;65322140&lt;/_created&gt;&lt;_date&gt;2022-01-01&lt;/_date&gt;&lt;_db_updated&gt;Web of Science-Core&lt;/_db_updated&gt;&lt;_doi&gt;10.1016/j.foodcont.2021.108477&lt;/_doi&gt;&lt;_impact_factor&gt;   6.000&lt;/_impact_factor&gt;&lt;_isbn&gt;0956-7135&lt;/_isbn&gt;&lt;_journal&gt;FOOD CONTROL&lt;/_journal&gt;&lt;_keywords&gt;Red garlic;Organosulfur volatiles;HS-SPME-GC-MS;Volatile composition;Traceability;PLS-DA;&lt;/_keywords&gt;&lt;_modified&gt;65322140&lt;/_modified&gt;&lt;_ori_publication&gt;ELSEVIER SCI LTD&lt;/_ori_publication&gt;&lt;_place_published&gt;THE BOULEVARD, LANGFORD LANE, KIDLINGTON, OXFORD OX5 1GB, OXON, ENGLAND&lt;/_place_published&gt;&lt;_ref_count&gt;35&lt;/_ref_count&gt;&lt;_social_category&gt;食品科技(1)&lt;/_social_category&gt;&lt;_url&gt;https://www.webofscience.com/wos/alldb/full-record/WOS:000691514000001&lt;/_url&gt;&lt;_volume&gt;131&lt;/_volume&gt;&lt;/Details&gt;&lt;Extra&gt;&lt;DBUID&gt;{7A4864DA-D1F8-4ACD-BB24-0EAEEAFDB637}&lt;/DBUID&gt;&lt;/Extra&gt;&lt;/Item&gt;&lt;/References&gt;&lt;/Group&gt;&lt;/Citation&gt;_x000a_"/>
    <w:docVar w:name="NE.Ref{2D9055F6-08BF-4E52-8E60-495E81CA7FB0}" w:val=" ADDIN NE.Ref.{2D9055F6-08BF-4E52-8E60-495E81CA7FB0}&lt;Citation&gt;&lt;Group&gt;&lt;References&gt;&lt;Item&gt;&lt;ID&gt;258&lt;/ID&gt;&lt;UID&gt;{B52250FD-AFCE-49DE-A3C5-184F8DFA5B0F}&lt;/UID&gt;&lt;Title&gt;Correlation among environmental factors, chemical composition and antioxidative properties of essential oil and extracts of chamomile (Matricaria chamomilla L.) collected in Molise (South-central Italy)&lt;/Title&gt;&lt;Template&gt;Journal Article&lt;/Template&gt;&lt;Star&gt;0&lt;/Star&gt;&lt;Tag&gt;0&lt;/Tag&gt;&lt;Author&gt;Formisano, Carmen; Delfine, Sebastiano; Oliviero, Filomena; Tenore, Gian Carlo; Rigano, Daniela; Senatore, Felice&lt;/Author&gt;&lt;Year&gt;2015&lt;/Year&gt;&lt;Details&gt;&lt;_author_adr&gt;费德里科II大学&lt;/_author_adr&gt;&lt;_author_aff&gt;费德里科II大学&lt;/_author_aff&gt;&lt;_collection_scope&gt;SCIE;EI&lt;/_collection_scope&gt;&lt;_created&gt;65332270&lt;/_created&gt;&lt;_db_provider&gt;北京万方数据股份有限公司&lt;/_db_provider&gt;&lt;_db_updated&gt;Wanfangdata&lt;/_db_updated&gt;&lt;_doi&gt;10.1016/j.indcrop.2014.09.042&lt;/_doi&gt;&lt;_impact_factor&gt;   5.900&lt;/_impact_factor&gt;&lt;_isbn&gt;0926-6690&lt;/_isbn&gt;&lt;_journal&gt;Industrial Crops and Products&lt;/_journal&gt;&lt;_keywords&gt;Matricaria chamomilla; Essential oil; Cis-tonghaosu; alpha-Bisabolol oxide; Phenolic compounds; Antioxidant activity&lt;/_keywords&gt;&lt;_language&gt;eng&lt;/_language&gt;&lt;_modified&gt;65332272&lt;/_modified&gt;&lt;_pages&gt;256-263&lt;/_pages&gt;&lt;_social_category&gt;农业工程(1) &amp;amp; 农艺学(1)&lt;/_social_category&gt;&lt;_url&gt;https://d.wanfangdata.com.cn/periodical/ChlQZXJpb2RpY2FsRU5HTmV3UzIwMjMwODMxEiA5MTQxZTQ0N2Q3MmJiYTI5MGRkNDhkMDA4ODBjOGQ1MhoIcHpqNW00aHI%3D&lt;/_url&gt;&lt;_volume&gt;63&lt;/_volume&gt;&lt;/Details&gt;&lt;Extra&gt;&lt;DBUID&gt;{7A4864DA-D1F8-4ACD-BB24-0EAEEAFDB637}&lt;/DBUID&gt;&lt;/Extra&gt;&lt;/Item&gt;&lt;/References&gt;&lt;/Group&gt;&lt;Group&gt;&lt;References&gt;&lt;Item&gt;&lt;ID&gt;259&lt;/ID&gt;&lt;UID&gt;{7B2F0F68-339A-4966-B4FE-2B167766CCD3}&lt;/UID&gt;&lt;Title&gt;Chamomile (Matricaria chamomilla L.): An overview&lt;/Title&gt;&lt;Template&gt;Journal Article&lt;/Template&gt;&lt;Star&gt;0&lt;/Star&gt;&lt;Tag&gt;0&lt;/Tag&gt;&lt;Author&gt;Singh, O; Khanam, Z; Misra, N; Srivastava, M K&lt;/Author&gt;&lt;Year&gt;2011&lt;/Year&gt;&lt;Details&gt;&lt;_accession_num&gt;22096322&lt;/_accession_num&gt;&lt;_author_adr&gt;Department of Biochemistry, Bundelkhand University, Jhansi- 284 128, India.&lt;/_author_adr&gt;&lt;_created&gt;65332293&lt;/_created&gt;&lt;_date&gt;2011-01-01&lt;/_date&gt;&lt;_date_display&gt;2011 Jan&lt;/_date_display&gt;&lt;_db_updated&gt;PubMed&lt;/_db_updated&gt;&lt;_doi&gt;10.4103/0973-7847.79103&lt;/_doi&gt;&lt;_isbn&gt;0976-2787 (Electronic); 0973-7847 (Print); 0973-6581 (Linking)&lt;/_isbn&gt;&lt;_issue&gt;9&lt;/_issue&gt;&lt;_journal&gt;Pharmacogn Rev&lt;/_journal&gt;&lt;_keywords&gt;Amino acid; cadmium; co-cultivation; copper; cultivation; medicinal plant; salicylic acid; secondary metabolites; tissue culture&lt;/_keywords&gt;&lt;_language&gt;eng&lt;/_language&gt;&lt;_modified&gt;65332294&lt;/_modified&gt;&lt;_pages&gt;82-95&lt;/_pages&gt;&lt;_tertiary_title&gt;Pharmacognosy reviews&lt;/_tertiary_title&gt;&lt;_type_work&gt;Journal Article&lt;/_type_work&gt;&lt;_url&gt;http://www.ncbi.nlm.nih.gov/entrez/query.fcgi?cmd=Retrieve&amp;amp;db=pubmed&amp;amp;dopt=Abstract&amp;amp;list_uids=22096322&amp;amp;query_hl=1&lt;/_url&gt;&lt;_volume&gt;5&lt;/_volume&gt;&lt;/Details&gt;&lt;Extra&gt;&lt;DBUID&gt;{7A4864DA-D1F8-4ACD-BB24-0EAEEAFDB637}&lt;/DBUID&gt;&lt;/Extra&gt;&lt;/Item&gt;&lt;/References&gt;&lt;/Group&gt;&lt;/Citation&gt;_x000a_"/>
    <w:docVar w:name="NE.Ref{31308D8F-2100-473F-B17D-F045A978AAF3}" w:val=" ADDIN NE.Ref.{31308D8F-2100-473F-B17D-F045A978AAF3}&lt;Citation&gt;&lt;Group&gt;&lt;References&gt;&lt;Item&gt;&lt;ID&gt;230&lt;/ID&gt;&lt;UID&gt;{4C419032-57DA-4F63-8127-EB6173307086}&lt;/UID&gt;&lt;Title&gt;Chamomile: A herbal medicine of the past with bright future&lt;/Title&gt;&lt;Template&gt;Journal Article&lt;/Template&gt;&lt;Star&gt;0&lt;/Star&gt;&lt;Tag&gt;0&lt;/Tag&gt;&lt;Author&gt;Srivastava, J K; Shankar, E; Gupta, S&lt;/Author&gt;&lt;Year&gt;2010&lt;/Year&gt;&lt;Details&gt;&lt;_accession_num&gt;21132119&lt;/_accession_num&gt;&lt;_author_adr&gt;Department of Urology &amp;amp; Nutrition, Case Western Reserve University, Cleveland,  Ohio 44106.&lt;/_author_adr&gt;&lt;_collection_scope&gt;SCIE&lt;/_collection_scope&gt;&lt;_created&gt;65320835&lt;/_created&gt;&lt;_date&gt;2010-11-01&lt;/_date&gt;&lt;_date_display&gt;2010 Nov 1&lt;/_date_display&gt;&lt;_db_updated&gt;PubMed&lt;/_db_updated&gt;&lt;_doi&gt;10.3892/mmr.2010.377&lt;/_doi&gt;&lt;_impact_factor&gt;   3.400&lt;/_impact_factor&gt;&lt;_isbn&gt;1791-3004 (Electronic); 1791-2997 (Print); 1791-2997 (Linking)&lt;/_isbn&gt;&lt;_issue&gt;6&lt;/_issue&gt;&lt;_journal&gt;Mol Med Rep&lt;/_journal&gt;&lt;_language&gt;eng&lt;/_language&gt;&lt;_modified&gt;65320835&lt;/_modified&gt;&lt;_pages&gt;895-901&lt;/_pages&gt;&lt;_social_category&gt;医学：研究与实验(4) &amp;amp; 肿瘤学(4)&lt;/_social_category&gt;&lt;_tertiary_title&gt;Molecular medicine reports&lt;/_tertiary_title&gt;&lt;_type_work&gt;Journal Article&lt;/_type_work&gt;&lt;_url&gt;http://www.ncbi.nlm.nih.gov/entrez/query.fcgi?cmd=Retrieve&amp;amp;db=pubmed&amp;amp;dopt=Abstract&amp;amp;list_uids=21132119&amp;amp;query_hl=1&lt;/_url&gt;&lt;_volume&gt;3&lt;/_volume&gt;&lt;/Details&gt;&lt;Extra&gt;&lt;DBUID&gt;{7A4864DA-D1F8-4ACD-BB24-0EAEEAFDB637}&lt;/DBUID&gt;&lt;/Extra&gt;&lt;/Item&gt;&lt;/References&gt;&lt;/Group&gt;&lt;Group&gt;&lt;References&gt;&lt;Item&gt;&lt;ID&gt;252&lt;/ID&gt;&lt;UID&gt;{0B93B907-FF5E-419A-B73E-4F3E8FAF33B6}&lt;/UID&gt;&lt;Title&gt;Fast quality assessment of German chamomile (Matricaria chamomilla L.) by  headspace solid-phase microextraction: influence of flower development stage&lt;/Title&gt;&lt;Template&gt;Journal Article&lt;/Template&gt;&lt;Star&gt;0&lt;/Star&gt;&lt;Tag&gt;0&lt;/Tag&gt;&lt;Author&gt;Rafieiolhossaini, M; Adams, A; Sodaeizadeh, H; Van Damme, P; De Kimpe, N&lt;/Author&gt;&lt;Year&gt;2012&lt;/Year&gt;&lt;Details&gt;&lt;_accession_num&gt;22428258&lt;/_accession_num&gt;&lt;_author_adr&gt;Laboratory of Tropical and Subtropical Agronomy and Ethnobotany, Faculty of  Bioscience Engineering, Coupure Links 653, B- 9000 Ghent, Belgium.&lt;/_author_adr&gt;&lt;_collection_scope&gt;SCIE&lt;/_collection_scope&gt;&lt;_created&gt;65326774&lt;/_created&gt;&lt;_date&gt;2012-01-01&lt;/_date&gt;&lt;_date_display&gt;2012 Jan&lt;/_date_display&gt;&lt;_db_updated&gt;PubMed&lt;/_db_updated&gt;&lt;_impact_factor&gt;   1.800&lt;/_impact_factor&gt;&lt;_isbn&gt;1934-578X (Print); 1555-9475 (Linking)&lt;/_isbn&gt;&lt;_issue&gt;1&lt;/_issue&gt;&lt;_journal&gt;Nat Prod Commun&lt;/_journal&gt;&lt;_language&gt;eng&lt;/_language&gt;&lt;_modified&gt;65326774&lt;/_modified&gt;&lt;_pages&gt;97-100&lt;/_pages&gt;&lt;_social_category&gt;药物化学(4) &amp;amp; 食品科技(4)&lt;/_social_category&gt;&lt;_subject_headings&gt;Flowers/*chemistry/*growth &amp;amp; development; Gas Chromatography-Mass Spectrometry; Matricaria/*chemistry/growth &amp;amp; development; Solid Phase Microextraction/*methods&lt;/_subject_headings&gt;&lt;_tertiary_title&gt;Natural product communications&lt;/_tertiary_title&gt;&lt;_type_work&gt;Journal Article; Research Support, Non-U.S. Gov&amp;apos;t&lt;/_type_work&gt;&lt;_url&gt;http://www.ncbi.nlm.nih.gov/entrez/query.fcgi?cmd=Retrieve&amp;amp;db=pubmed&amp;amp;dopt=Abstract&amp;amp;list_uids=22428258&amp;amp;query_hl=1&lt;/_url&gt;&lt;_volume&gt;7&lt;/_volume&gt;&lt;/Details&gt;&lt;Extra&gt;&lt;DBUID&gt;{7A4864DA-D1F8-4ACD-BB24-0EAEEAFDB637}&lt;/DBUID&gt;&lt;/Extra&gt;&lt;/Item&gt;&lt;/References&gt;&lt;/Group&gt;&lt;/Citation&gt;_x000a_"/>
    <w:docVar w:name="NE.Ref{34B7AF92-52FD-40E8-A107-6E9798365F9B}" w:val=" ADDIN NE.Ref.{34B7AF92-52FD-40E8-A107-6E9798365F9B}&lt;Citation&gt;&lt;Group&gt;&lt;References&gt;&lt;Item&gt;&lt;ID&gt;239&lt;/ID&gt;&lt;UID&gt;{108A2CC5-A521-4171-8CFC-E59905DAD7BE}&lt;/UID&gt;&lt;Title&gt;Headspace GC/MS and fast GC e-nose combined with chemometric analysis to identify the varieties and geographical origins of ginger (Zingiber officinale Roscoe)&lt;/Title&gt;&lt;Template&gt;Journal Article&lt;/Template&gt;&lt;Star&gt;0&lt;/Star&gt;&lt;Tag&gt;0&lt;/Tag&gt;&lt;Author&gt;X., Yu D; S., Guo; H., Yan; M., Wang J; Q., Zhou J; A., Duan J; X., Zhang; J., Yang&lt;/Author&gt;&lt;Year&gt;2022&lt;/Year&gt;&lt;Details&gt;&lt;_collection_scope&gt;SCIE;EI&lt;/_collection_scope&gt;&lt;_created&gt;65321941&lt;/_created&gt;&lt;_db_provider&gt;北京万方数据股份有限公司&lt;/_db_provider&gt;&lt;_db_updated&gt;Wanfangdata&lt;/_db_updated&gt;&lt;_doi&gt;10.1016/j.foodchem.2022.133672&lt;/_doi&gt;&lt;_impact_factor&gt;   8.800&lt;/_impact_factor&gt;&lt;_isbn&gt;0308-8146&lt;/_isbn&gt;&lt;_issue&gt;Dec.1&lt;/_issue&gt;&lt;_journal&gt;Food Chemistry&lt;/_journal&gt;&lt;_keywords&gt;Chemometrics; fast GC e-nose; Geographical origin discrimination; Ginger; HS-GC–MS&lt;/_keywords&gt;&lt;_language&gt;eng&lt;/_language&gt;&lt;_modified&gt;65321941&lt;/_modified&gt;&lt;_pages&gt;1-11&lt;/_pages&gt;&lt;_social_category&gt;应用化学(1) &amp;amp; 食品科技(1) &amp;amp; 营养学(1)&lt;/_social_category&gt;&lt;_url&gt;https://d.wanfangdata.com.cn/periodical/ChlQZXJpb2RpY2FsRU5HTmV3UzIwMjMwODMxEiAzMjkyYTZmZDViZTdiNDc0MDNjYzE1ZDFlNmU2NjU3OBoIdTd2c2s2ZWg%3D&lt;/_url&gt;&lt;_volume&gt;396&lt;/_volume&gt;&lt;/Details&gt;&lt;Extra&gt;&lt;DBUID&gt;{7A4864DA-D1F8-4ACD-BB24-0EAEEAFDB637}&lt;/DBUID&gt;&lt;/Extra&gt;&lt;/Item&gt;&lt;/References&gt;&lt;/Group&gt;&lt;/Citation&gt;_x000a_"/>
    <w:docVar w:name="NE.Ref{390A86C4-DD48-44AB-AA0F-1AFCDC827FC7}" w:val=" ADDIN NE.Ref.{390A86C4-DD48-44AB-AA0F-1AFCDC827FC7}&lt;Citation&gt;&lt;Group&gt;&lt;References&gt;&lt;Item&gt;&lt;ID&gt;226&lt;/ID&gt;&lt;UID&gt;{A255960A-ADDE-49AB-8DA8-C15EADEE8693}&lt;/UID&gt;&lt;Title&gt;基于生姜炮制品研究和GC-MS验证的气味分析仪应用性探讨&lt;/Title&gt;&lt;Template&gt;Journal Article&lt;/Template&gt;&lt;Star&gt;0&lt;/Star&gt;&lt;Tag&gt;0&lt;/Tag&gt;&lt;Author&gt;董妍玉; 张莹; 苏仁敬; 窦志英; 何俊; 王晖&lt;/Author&gt;&lt;Year&gt;2022&lt;/Year&gt;&lt;Details&gt;&lt;_author_aff&gt;天津中医药大学中药学院国家中医药管理局“中药炮制技术传承基地”(天津);天津中医药大学中药学院天津市中药药理重点实验室;天津中医药大学中医药研究院天津市现代中药重点实验室;&lt;/_author_aff&gt;&lt;_collection_scope&gt;CSCD;PKU&lt;/_collection_scope&gt;&lt;_created&gt;65310736&lt;/_created&gt;&lt;_date&gt;2022-01-30&lt;/_date&gt;&lt;_db_updated&gt;CNKI - Reference&lt;/_db_updated&gt;&lt;_issue&gt;24&lt;/_issue&gt;&lt;_journal&gt;中国中药杂志&lt;/_journal&gt;&lt;_keywords&gt;气质联用;HeraclesⅡ快速电子气味分析仪;干姜;炮姜;姜炭;主成分分析;判别因子分析&lt;/_keywords&gt;&lt;_modified&gt;65310736&lt;/_modified&gt;&lt;_pages&gt;6633-6640&lt;/_pages&gt;&lt;_url&gt;https://link.cnki.net/doi/10.19540/j.cnki.cjcmm.20220128.305&lt;/_url&gt;&lt;_volume&gt;47&lt;/_volume&gt;&lt;_translated_author&gt;Dong, Yan yu;Zhang, Ying;Su, Ren jing;Dou, Zhi ying;He, Jun;Wang, Hui&lt;/_translated_author&gt;&lt;/Details&gt;&lt;Extra&gt;&lt;DBUID&gt;{7A4864DA-D1F8-4ACD-BB24-0EAEEAFDB637}&lt;/DBUID&gt;&lt;/Extra&gt;&lt;/Item&gt;&lt;/References&gt;&lt;/Group&gt;&lt;/Citation&gt;_x000a_"/>
    <w:docVar w:name="NE.Ref{3B69441E-FD81-47D9-A9FF-0A5250A4BBA3}" w:val=" ADDIN NE.Ref.{3B69441E-FD81-47D9-A9FF-0A5250A4BBA3}&lt;Citation&gt;&lt;Group&gt;&lt;References&gt;&lt;Item&gt;&lt;ID&gt;237&lt;/ID&gt;&lt;UID&gt;{3DB2159E-1053-4237-B3DA-99C3A6DCD19F}&lt;/UID&gt;&lt;Title&gt;Rapid direct analysis to discriminate geographic origin of extra virgin olive oils by flash gas chromatography electronic nose and chemometrics&lt;/Title&gt;&lt;Template&gt;Journal Article&lt;/Template&gt;&lt;Star&gt;0&lt;/Star&gt;&lt;Tag&gt;0&lt;/Tag&gt;&lt;Author&gt;Melucci, Dora; Bendini, Alessandra; Tesini, Federica; Barbieri, Sara; Zappi, Alessandro; Vichi, Stefania; Conte, Lanfranco; Toschi, Tullia Gallina&lt;/Author&gt;&lt;Year&gt;2016&lt;/Year&gt;&lt;Details&gt;&lt;_author_adr&gt;乌迪内大学&lt;/_author_adr&gt;&lt;_author_aff&gt;乌迪内大学&lt;/_author_aff&gt;&lt;_collection_scope&gt;SCIE;EI&lt;/_collection_scope&gt;&lt;_created&gt;65321934&lt;/_created&gt;&lt;_db_provider&gt;北京万方数据股份有限公司&lt;/_db_provider&gt;&lt;_db_updated&gt;Wanfangdata&lt;/_db_updated&gt;&lt;_doi&gt;10.1016/j.foodchem.2016.02.131&lt;/_doi&gt;&lt;_impact_factor&gt;   8.800&lt;/_impact_factor&gt;&lt;_isbn&gt;0308-8146&lt;/_isbn&gt;&lt;_issue&gt;Aug.1&lt;/_issue&gt;&lt;_journal&gt;Food Chemistry&lt;/_journal&gt;&lt;_keywords&gt;Extra virgin olive oil; Geographic origin; FGC E-nose; SPME/GC-MS; Headspace volatile compounds; Non-target analysis; PCA; PLS-DA&lt;/_keywords&gt;&lt;_language&gt;eng&lt;/_language&gt;&lt;_modified&gt;65321934&lt;/_modified&gt;&lt;_pages&gt;263-273&lt;/_pages&gt;&lt;_social_category&gt;应用化学(1) &amp;amp; 食品科技(1) &amp;amp; 营养学(1)&lt;/_social_category&gt;&lt;_url&gt;https://d.wanfangdata.com.cn/periodical/ChlQZXJpb2RpY2FsRU5HTmV3UzIwMjMwODMxEiBmNzNjMmEwNTg3NjM2Y2NhNTdiYzA2NjcwMDU5NjY3MxoIam11NXI4a3Q%3D&lt;/_url&gt;&lt;_volume&gt;204&lt;/_volume&gt;&lt;/Details&gt;&lt;Extra&gt;&lt;DBUID&gt;{7A4864DA-D1F8-4ACD-BB24-0EAEEAFDB637}&lt;/DBUID&gt;&lt;/Extra&gt;&lt;/Item&gt;&lt;/References&gt;&lt;/Group&gt;&lt;/Citation&gt;_x000a_"/>
    <w:docVar w:name="NE.Ref{3B6F4839-53E7-4610-9597-9454E8F85490}" w:val=" ADDIN NE.Ref.{3B6F4839-53E7-4610-9597-9454E8F85490}&lt;Citation&gt;&lt;Group&gt;&lt;References&gt;&lt;Item&gt;&lt;ID&gt;254&lt;/ID&gt;&lt;UID&gt;{79D33936-0D66-417C-A86A-CEF298724971}&lt;/UID&gt;&lt;Title&gt;A Comprehensive Review on Biology, Genetic Improvement, Agro and Process  Technology of German Chamomile (Matricaria chamomilla L.)&lt;/Title&gt;&lt;Template&gt;Journal Article&lt;/Template&gt;&lt;Star&gt;0&lt;/Star&gt;&lt;Tag&gt;0&lt;/Tag&gt;&lt;Author&gt;Chauhan, R; Singh, S; Kumar, V; Kumar, A; Kumari, A; Rathore, S; Kumar, R; Singh, S&lt;/Author&gt;&lt;Year&gt;2021&lt;/Year&gt;&lt;Details&gt;&lt;_accession_num&gt;35009033&lt;/_accession_num&gt;&lt;_author_adr&gt;Division of Agrotechnology, Council of Scientific and Industrial  Research-Institute of Himalayan Bioresource Technology (CSIR-IHBT), Palampur  176061, India.; Division of Agrotechnology, Council of Scientific and Industrial  Research-Institute of Himalayan Bioresource Technology (CSIR-IHBT), Palampur  176061, India.; Division of Environmental Technology, CSIR-IHBT, Palampur 176061, India.; Division of Agrotechnology, Council of Scientific and Industrial  Research-Institute of Himalayan Bioresource Technology (CSIR-IHBT), Palampur  176061, India.; Division of Chemical Technology, CSIR-IHBT, Palampur 176061, India.; Academy of Scientific and Industrial Research, Ghaziabad 201002, India.; Division of Agrotechnology, Council of Scientific and Industrial  Research-Institute of Himalayan Bioresource Technology (CSIR-IHBT), Palampur  176061, India.; Division of Agrotechnology, Council of Scientific and Industrial  Research-Institute of Himalayan Bioresource Technology (CSIR-IHBT), Palampur  176061, India.&lt;/_author_adr&gt;&lt;_collection_scope&gt;SCIE&lt;/_collection_scope&gt;&lt;_created&gt;65326790&lt;/_created&gt;&lt;_date&gt;2021-12-23&lt;/_date&gt;&lt;_date_display&gt;2021 Dec 23&lt;/_date_display&gt;&lt;_db_updated&gt;PubMed&lt;/_db_updated&gt;&lt;_doi&gt;10.3390/plants11010029&lt;/_doi&gt;&lt;_impact_factor&gt;   4.500&lt;/_impact_factor&gt;&lt;_isbn&gt;2223-7747 (Print); 2223-7747 (Electronic); 2223-7747 (Linking)&lt;/_isbn&gt;&lt;_issue&gt;1&lt;/_issue&gt;&lt;_journal&gt;Plants (Basel)&lt;/_journal&gt;&lt;_keywords&gt;agronomy; chamomile; essential oil; genetic improvement; pharmacological uses&lt;/_keywords&gt;&lt;_language&gt;eng&lt;/_language&gt;&lt;_modified&gt;65326792&lt;/_modified&gt;&lt;_social_category&gt;农艺学(3) &amp;amp; 植物科学(3)&lt;/_social_category&gt;&lt;_tertiary_title&gt;Plants (Basel, Switzerland)&lt;/_tertiary_title&gt;&lt;_type_work&gt;Journal Article; Review&lt;/_type_work&gt;&lt;_url&gt;http://www.ncbi.nlm.nih.gov/entrez/query.fcgi?cmd=Retrieve&amp;amp;db=pubmed&amp;amp;dopt=Abstract&amp;amp;list_uids=35009033&amp;amp;query_hl=1&lt;/_url&gt;&lt;_volume&gt;11&lt;/_volume&gt;&lt;/Details&gt;&lt;Extra&gt;&lt;DBUID&gt;{7A4864DA-D1F8-4ACD-BB24-0EAEEAFDB637}&lt;/DBUID&gt;&lt;/Extra&gt;&lt;/Item&gt;&lt;/References&gt;&lt;/Group&gt;&lt;Group&gt;&lt;References&gt;&lt;Item&gt;&lt;ID&gt;255&lt;/ID&gt;&lt;UID&gt;{15E80553-8C2F-4758-84C2-59A4D0D26285}&lt;/UID&gt;&lt;Title&gt;A Comprehensive Study of Therapeutic Applications of Chamomile&lt;/Title&gt;&lt;Template&gt;Journal Article&lt;/Template&gt;&lt;Star&gt;0&lt;/Star&gt;&lt;Tag&gt;0&lt;/Tag&gt;&lt;Author&gt;Sah, A; Naseef, P P; Kuruniyan, M S; Jain, G K; Zakir, F; Aggarwal, G&lt;/Author&gt;&lt;Year&gt;2022&lt;/Year&gt;&lt;Details&gt;&lt;_accession_num&gt;36297396&lt;/_accession_num&gt;&lt;_author_adr&gt;Department of Pharmaceutics, Delhi Institute of Pharmaceutical Sciences and  Research, Delhi Pharmaceutical Sciences and Research University, Sector-3, M.B.  Road, Pushp Vihar, New Delhi 110017, India.; Department of Pharmaceutics, Moulana College of Pharmacy, Perinthalmanna 679321,  India.; Department of Dental Technology, College of Applied Medical Sciences, King Khalid  University, Abha 61421, Saudi Arabia.; Department of Pharmaceutics, Delhi Institute of Pharmaceutical Sciences and  Research, Delhi Pharmaceutical Sciences and Research University, Sector-3, M.B.  Road, Pushp Vihar, New Delhi 110017, India.; Center for Advanced Formulation Development, Delhi Pharmaceutical Sciences and  Research University, Sector-3, M.B. Road, Pushp Vihar, New Delhi 110017, India.; Department of B. Pharm (Ayurveda), School of Pharmaceutical Sciences, Delhi  Pharmaceutical Sciences and Research University, Sector-3, M.B. Road, Pushp  Vihar, New Delhi 110017, India.; Center for Advanced Formulation Development, Delhi Pharmaceutical Sciences and  Research University, Sector-3, M.B. Road, Pushp Vihar, New Delhi 110017, India.; Department of Pharmaceutics, School of Pharmaceutical Sciences, Delhi  Pharmaceutical Sciences and Research University, Sector-3, M.B. Road, Pushp  Vihar, New Delhi 110017, India.&lt;/_author_adr&gt;&lt;_collection_scope&gt;SCIE&lt;/_collection_scope&gt;&lt;_created&gt;65326808&lt;/_created&gt;&lt;_date&gt;2022-10-19&lt;/_date&gt;&lt;_date_display&gt;2022 Oct 19&lt;/_date_display&gt;&lt;_db_updated&gt;PubMed&lt;/_db_updated&gt;&lt;_doi&gt;10.3390/ph15101284&lt;/_doi&gt;&lt;_impact_factor&gt;   4.600&lt;/_impact_factor&gt;&lt;_isbn&gt;1424-8247 (Print); 1424-8247 (Electronic); 1424-8247 (Linking)&lt;/_isbn&gt;&lt;_issue&gt;10&lt;/_issue&gt;&lt;_journal&gt;Pharmaceuticals (Basel)&lt;/_journal&gt;&lt;_keywords&gt;apigenin; bisabalool; chamomile; chamomilla; flavonoid; matricaria&lt;/_keywords&gt;&lt;_language&gt;eng&lt;/_language&gt;&lt;_modified&gt;65326808&lt;/_modified&gt;&lt;_social_category&gt;药物化学(3) &amp;amp; 药学(3)&lt;/_social_category&gt;&lt;_tertiary_title&gt;Pharmaceuticals (Basel, Switzerland)&lt;/_tertiary_title&gt;&lt;_type_work&gt;Journal Article; Review&lt;/_type_work&gt;&lt;_url&gt;http://www.ncbi.nlm.nih.gov/entrez/query.fcgi?cmd=Retrieve&amp;amp;db=pubmed&amp;amp;dopt=Abstract&amp;amp;list_uids=36297396&amp;amp;query_hl=1&lt;/_url&gt;&lt;_volume&gt;15&lt;/_volume&gt;&lt;/Details&gt;&lt;Extra&gt;&lt;DBUID&gt;{7A4864DA-D1F8-4ACD-BB24-0EAEEAFDB637}&lt;/DBUID&gt;&lt;/Extra&gt;&lt;/Item&gt;&lt;/References&gt;&lt;/Group&gt;&lt;/Citation&gt;_x000a_"/>
    <w:docVar w:name="NE.Ref{413098C7-3246-4832-8DF3-E2F2C4877E58}" w:val=" ADDIN NE.Ref.{413098C7-3246-4832-8DF3-E2F2C4877E58}&lt;Citation&gt;&lt;Group&gt;&lt;References&gt;&lt;Item&gt;&lt;ID&gt;259&lt;/ID&gt;&lt;UID&gt;{7B2F0F68-339A-4966-B4FE-2B167766CCD3}&lt;/UID&gt;&lt;Title&gt;Chamomile (Matricaria chamomilla L.): An overview&lt;/Title&gt;&lt;Template&gt;Journal Article&lt;/Template&gt;&lt;Star&gt;0&lt;/Star&gt;&lt;Tag&gt;0&lt;/Tag&gt;&lt;Author&gt;Singh, O; Khanam, Z; Misra, N; Srivastava, M K&lt;/Author&gt;&lt;Year&gt;2011&lt;/Year&gt;&lt;Details&gt;&lt;_accession_num&gt;22096322&lt;/_accession_num&gt;&lt;_author_adr&gt;Department of Biochemistry, Bundelkhand University, Jhansi- 284 128, India.&lt;/_author_adr&gt;&lt;_created&gt;65332293&lt;/_created&gt;&lt;_date&gt;2011-01-01&lt;/_date&gt;&lt;_date_display&gt;2011 Jan&lt;/_date_display&gt;&lt;_db_updated&gt;PubMed&lt;/_db_updated&gt;&lt;_doi&gt;10.4103/0973-7847.79103&lt;/_doi&gt;&lt;_isbn&gt;0976-2787 (Electronic); 0973-7847 (Print); 0973-6581 (Linking)&lt;/_isbn&gt;&lt;_issue&gt;9&lt;/_issue&gt;&lt;_journal&gt;Pharmacogn Rev&lt;/_journal&gt;&lt;_keywords&gt;Amino acid; cadmium; co-cultivation; copper; cultivation; medicinal plant; salicylic acid; secondary metabolites; tissue culture&lt;/_keywords&gt;&lt;_language&gt;eng&lt;/_language&gt;&lt;_modified&gt;65332294&lt;/_modified&gt;&lt;_pages&gt;82-95&lt;/_pages&gt;&lt;_tertiary_title&gt;Pharmacognosy reviews&lt;/_tertiary_title&gt;&lt;_type_work&gt;Journal Article&lt;/_type_work&gt;&lt;_url&gt;http://www.ncbi.nlm.nih.gov/entrez/query.fcgi?cmd=Retrieve&amp;amp;db=pubmed&amp;amp;dopt=Abstract&amp;amp;list_uids=22096322&amp;amp;query_hl=1&lt;/_url&gt;&lt;_volume&gt;5&lt;/_volume&gt;&lt;/Details&gt;&lt;Extra&gt;&lt;DBUID&gt;{7A4864DA-D1F8-4ACD-BB24-0EAEEAFDB637}&lt;/DBUID&gt;&lt;/Extra&gt;&lt;/Item&gt;&lt;/References&gt;&lt;/Group&gt;&lt;/Citation&gt;_x000a_"/>
    <w:docVar w:name="NE.Ref{50F3D357-A5E9-4F37-B808-DE7504F270FD}" w:val=" ADDIN NE.Ref.{50F3D357-A5E9-4F37-B808-DE7504F270FD}&lt;Citation&gt;&lt;Group&gt;&lt;References&gt;&lt;Item&gt;&lt;ID&gt;235&lt;/ID&gt;&lt;UID&gt;{0374FF3E-D9F3-4E87-9455-5E0736F59D7A}&lt;/UID&gt;&lt;Title&gt;Study on the key volatile compounds and aroma quality of jasmine tea with different scenting technology (vol 385, 132718, 2022)&lt;/Title&gt;&lt;Template&gt;Journal Article&lt;/Template&gt;&lt;Star&gt;0&lt;/Star&gt;&lt;Tag&gt;0&lt;/Tag&gt;&lt;Author&gt;An, Huimin; Ou, Xingchang; Zhang, Yangbo; Li, Shi; Xiong, Yifan; Li, Qin; Huang, Jianan; Liu, Zhonghua&lt;/Author&gt;&lt;Year&gt;2022&lt;/Year&gt;&lt;Details&gt;&lt;_author_adr&gt;[Huimin An]Natl Res Ctr Engn Technol Utilizat Bot Funct Ingre, Changsha 410128, Peoples R China;[Xingchang Ou]Natl Res Ctr Engn Technol Utilizat Bot Funct Ingre, Changsha 410128, Peoples R China;[Yangbo Zhang]Natl Res Ctr Engn Technol Utilizat Bot Funct Ingre, Changsha 410128, Peoples R China;[Shi Li]Natl Res Ctr Engn Technol Utilizat Bot Funct Ingre, Changsha 410128, Peoples R China;[Yifan Xiong]Natl Res Ctr Engn Technol Utilizat Bot Funct Ingre, Changsha 410128, Peoples R China;[Qin Li]Natl Res Ctr Engn Technol Utilizat Bot Funct Ingre, Changsha 410128, Peoples R China;[Jianan Huang]Hunan Coinnovat Ctr Utilizat Bot Funct Ingredients, Changsha 410128, Peoples R China;[Zhonghua Liu]Hunan Coinnovat Ctr Utilizat Bot Funct Ingredients, Changsha 410128, Peoples R China;&lt;/_author_adr&gt;&lt;_author_aff&gt;Hunan Agr Univ;Hunan Agricultural University;Natl Res Ctr Engn Technol Utilizat Bot Funct Ingre;Hunan Coinnovat Ctr Utilizat Bot Funct Ingredients;&lt;/_author_aff&gt;&lt;_cate&gt;Chemistry, Applied;Food Science &amp;amp; Technology;Nutrition &amp;amp; Dietetics;&lt;/_cate&gt;&lt;_cited_count&gt;1&lt;/_cited_count&gt;&lt;_collection_scope&gt;SCIE;EI&lt;/_collection_scope&gt;&lt;_created&gt;65321888&lt;/_created&gt;&lt;_db_updated&gt;Web of Science-Core&lt;/_db_updated&gt;&lt;_doi&gt;10.1016/j.foodchem.2022.133172&lt;/_doi&gt;&lt;_impact_factor&gt;   8.800&lt;/_impact_factor&gt;&lt;_isbn&gt;0308-8146&lt;/_isbn&gt;&lt;_journal&gt;FOOD CHEMISTRY&lt;/_journal&gt;&lt;_modified&gt;65321889&lt;/_modified&gt;&lt;_ori_publication&gt;ELSEVIER SCI LTD&lt;/_ori_publication&gt;&lt;_place_published&gt;THE BOULEVARD, LANGFORD LANE, KIDLINGTON, OXFORD OX5 1GB, OXON, ENGLAND&lt;/_place_published&gt;&lt;_ref_count&gt;0&lt;/_ref_count&gt;&lt;_social_category&gt;应用化学(1) &amp;amp; 食品科技(1) &amp;amp; 营养学(1)&lt;/_social_category&gt;&lt;_url&gt;https://www.webofscience.com/wos/alldb/full-record/WOS:000809250600005&lt;/_url&gt;&lt;_volume&gt;389&lt;/_volume&gt;&lt;/Details&gt;&lt;Extra&gt;&lt;DBUID&gt;{7A4864DA-D1F8-4ACD-BB24-0EAEEAFDB637}&lt;/DBUID&gt;&lt;/Extra&gt;&lt;/Item&gt;&lt;/References&gt;&lt;/Group&gt;&lt;Group&gt;&lt;References&gt;&lt;Item&gt;&lt;ID&gt;250&lt;/ID&gt;&lt;UID&gt;{7C3FD087-3591-4770-A4D9-1971619392CC}&lt;/UID&gt;&lt;Title&gt;Valorisation of Roman chamomile (Chamaemelum nobile L.) herb by comprehensive  evaluation of hydrodistilled aroma and residual non-volatile fractions&lt;/Title&gt;&lt;Template&gt;Journal Article&lt;/Template&gt;&lt;Star&gt;0&lt;/Star&gt;&lt;Tag&gt;0&lt;/Tag&gt;&lt;Author&gt;Baranauskiene, R; Venskutonis, P R; Ragazinskiene, O&lt;/Author&gt;&lt;Year&gt;2022&lt;/Year&gt;&lt;Details&gt;&lt;_accession_num&gt;36076410&lt;/_accession_num&gt;&lt;_author_adr&gt;Department of Food Science and Technology, Kaunas University of Technology,  Radvilenu rd. 19, Kaunas LT-50254, Lithuania. Electronic address:  renata.baranauskiene@ktu.lt.; Department of Food Science and Technology, Kaunas University of Technology,  Radvilenu rd. 19, Kaunas LT-50254, Lithuania.; Kaunas Botanical Garden of Vytautas Magnus University, Z.E. Zilibero str. 6,  Kaunas LT-46324, Lithuania.&lt;/_author_adr&gt;&lt;_collection_scope&gt;SCIE;EI&lt;/_collection_scope&gt;&lt;_created&gt;65326337&lt;/_created&gt;&lt;_date&gt;2022-10-01&lt;/_date&gt;&lt;_date_display&gt;2022 Oct&lt;/_date_display&gt;&lt;_db_updated&gt;PubMed&lt;/_db_updated&gt;&lt;_doi&gt;10.1016/j.foodres.2022.111715&lt;/_doi&gt;&lt;_impact_factor&gt;   8.100&lt;/_impact_factor&gt;&lt;_isbn&gt;1873-7145 (Electronic); 0963-9969 (Linking)&lt;/_isbn&gt;&lt;_journal&gt;Food Res Int&lt;/_journal&gt;&lt;_keywords&gt;Antioxidant capacity; Chamaemelum nobile L.; Deodorized acetone extract; Essential oil; Growth phases; Water extract&lt;/_keywords&gt;&lt;_language&gt;eng&lt;/_language&gt;&lt;_modified&gt;65326337&lt;/_modified&gt;&lt;_ori_publication&gt;Copyright (c) 2022 Elsevier Ltd. All rights reserved.&lt;/_ori_publication&gt;&lt;_pages&gt;111715&lt;/_pages&gt;&lt;_social_category&gt;食品科技(1)&lt;/_social_category&gt;&lt;_subject_headings&gt;Antioxidants/chemistry; *Chamaemelum/chemistry; Isobutyrates; Odorants; *Oils, Volatile; Water&lt;/_subject_headings&gt;&lt;_tertiary_title&gt;Food research international (Ottawa, Ont.)&lt;/_tertiary_title&gt;&lt;_type_work&gt;Journal Article&lt;/_type_work&gt;&lt;_url&gt;http://www.ncbi.nlm.nih.gov/entrez/query.fcgi?cmd=Retrieve&amp;amp;db=pubmed&amp;amp;dopt=Abstract&amp;amp;list_uids=36076410&amp;amp;query_hl=1&lt;/_url&gt;&lt;_volume&gt;160&lt;/_volume&gt;&lt;/Details&gt;&lt;Extra&gt;&lt;DBUID&gt;{7A4864DA-D1F8-4ACD-BB24-0EAEEAFDB637}&lt;/DBUID&gt;&lt;/Extra&gt;&lt;/Item&gt;&lt;/References&gt;&lt;/Group&gt;&lt;/Citation&gt;_x000a_"/>
    <w:docVar w:name="NE.Ref{519E34B9-5DC7-4C5B-BC08-BF5B030688FA}" w:val=" ADDIN NE.Ref.{519E34B9-5DC7-4C5B-BC08-BF5B030688FA}&lt;Citation&gt;&lt;Group&gt;&lt;References&gt;&lt;Item&gt;&lt;ID&gt;228&lt;/ID&gt;&lt;UID&gt;{361E9CC8-AFBD-4775-9939-A4C958BFC493}&lt;/UID&gt;&lt;Title&gt;Matricaria chamomilla: A valuable insight into recent advances in medicinal uses and pharmacological activities&lt;/Title&gt;&lt;Template&gt;Journal Article&lt;/Template&gt;&lt;Star&gt;0&lt;/Star&gt;&lt;Tag&gt;0&lt;/Tag&gt;&lt;Author&gt;El Joumaa, Manal M; Borjac, Jamilah M&lt;/Author&gt;&lt;Year&gt;2022&lt;/Year&gt;&lt;Details&gt;&lt;_alternate_title&gt;Phytochemistry Reviews&lt;/_alternate_title&gt;&lt;_collection_scope&gt;SCIE&lt;/_collection_scope&gt;&lt;_created&gt;65320808&lt;/_created&gt;&lt;_date&gt;2022-01-01&lt;/_date&gt;&lt;_date_display&gt;2022&lt;/_date_display&gt;&lt;_doi&gt;10.1007/s11101-022-09817-0&lt;/_doi&gt;&lt;_impact_factor&gt;   7.700&lt;/_impact_factor&gt;&lt;_isbn&gt;1572-980X&lt;/_isbn&gt;&lt;_issue&gt;6&lt;/_issue&gt;&lt;_journal&gt;Phytochemistry Reviews&lt;/_journal&gt;&lt;_modified&gt;65320808&lt;/_modified&gt;&lt;_number&gt;El Joumaa2022&lt;/_number&gt;&lt;_pages&gt;1913-1940&lt;/_pages&gt;&lt;_social_category&gt;农艺学(2) &amp;amp; 植物科学(2)&lt;/_social_category&gt;&lt;_url&gt;https://doi.org/10.1007/s11101-022-09817-0&lt;/_url&gt;&lt;_volume&gt;21&lt;/_volume&gt;&lt;/Details&gt;&lt;Extra&gt;&lt;DBUID&gt;{7A4864DA-D1F8-4ACD-BB24-0EAEEAFDB637}&lt;/DBUID&gt;&lt;/Extra&gt;&lt;/Item&gt;&lt;/References&gt;&lt;/Group&gt;&lt;/Citation&gt;_x000a_"/>
    <w:docVar w:name="NE.Ref{537C2EC7-383C-4689-81BC-D66F1824AA57}" w:val=" ADDIN NE.Ref.{537C2EC7-383C-4689-81BC-D66F1824AA57}&lt;Citation&gt;&lt;Group&gt;&lt;References&gt;&lt;Item&gt;&lt;ID&gt;267&lt;/ID&gt;&lt;UID&gt;{4A30AC5C-DF1F-4BDE-97A3-5898CE8F49EF}&lt;/UID&gt;&lt;Title&gt;Artemisia sieversiana Ehrhart ex Willd. Essential Oil and Its Main Component , Chamazulene : Their Photoprotective Effect against UVB-Induced Cellular Damage and Potential as Novel Natural Sunscreen Additives&lt;/Title&gt;&lt;Template&gt;Journal Article&lt;/Template&gt;&lt;Star&gt;0&lt;/Star&gt;&lt;Tag&gt;0&lt;/Tag&gt;&lt;Author&gt;Zhou, Ying; He, Lei; Wang, Wencui; Wei, Guodong; Ma, Li; Liu, Huanyan; Yao, Lei&lt;/Author&gt;&lt;Year&gt;2023&lt;/Year&gt;&lt;Details&gt;&lt;_author_adr&gt;[Ying Zhou]Shanghai Jiao Tong Univ, R&amp;amp;D Ctr Aromat Plants, Shanghai 200240, Peoples R China;[Lei He]Shanghai Jiao Tong Univ, Sch Agr &amp;amp; Biol, Shanghai 200240, Peoples R China;[Wencui Wang]Shanghai Jiao Tong Univ, R&amp;amp;D Ctr Aromat Plants, Shanghai 200240, Peoples R China;[Guodong Wei]DoTERRA Shanghai Biotechnol Co Ltd, Shanghai 200072, Peoples R China;[Li Ma]Shanghai Jiao Tong Univ, R&amp;amp;D Ctr Aromat Plants, Shanghai 200240, Peoples R China;[Huanyan Liu]DoTERRA Shanghai Biotechnol Co Ltd, Shanghai 200072, Peoples R China;[Lei Yao]Shanghai Jiao Tong Univ, R&amp;amp;D Ctr Aromat Plants, Shanghai 200240, Peoples R China;&lt;/_author_adr&gt;&lt;_author_aff&gt;Shanghai Jiao Tong Univ;Shanghai Jiao Tong University;Shanghai Jiao Tong University School of Design;Shanghai Jiao Tong Univ;Shanghai Jiao Tong University;Shanghai Jiao Tong Univ;Shanghai Jiao Tong University;Shanghai Jiao Tong University School of Agriculture and Biology;DoTERRA Shanghai Biotechnol Co Ltd;&lt;/_author_aff&gt;&lt;_cate&gt;Chemistry, Multidisciplinary;Green &amp;amp; Sustainable Science &amp;amp; Technology;Engineering, Chemical;&lt;/_cate&gt;&lt;_cited_count&gt;0&lt;/_cited_count&gt;&lt;_collection_scope&gt;SCIE;EI&lt;/_collection_scope&gt;&lt;_created&gt;65376635&lt;/_created&gt;&lt;_db_updated&gt;Web of Science-Core&lt;/_db_updated&gt;&lt;_doi&gt;10.1021/acssuschemeng.3c04804&lt;/_doi&gt;&lt;_impact_factor&gt;   8.400&lt;/_impact_factor&gt;&lt;_isbn&gt;2168-0485&lt;/_isbn&gt;&lt;_issue&gt;50&lt;/_issue&gt;&lt;_journal&gt;ACS SUSTAINABLE CHEMISTRY &amp;amp; ENGINEERING&lt;/_journal&gt;&lt;_keywords&gt;Artemisia sieversiana Ehrhart ex Willd;essential oil;chamazulene;photoprotective;HaCaT;UVB;sunscreen additive;&lt;/_keywords&gt;&lt;_modified&gt;65376635&lt;/_modified&gt;&lt;_ori_publication&gt;AMER CHEMICAL SOC&lt;/_ori_publication&gt;&lt;_pages&gt;17675-17686&lt;/_pages&gt;&lt;_place_published&gt;1155 16TH ST, NW, WASHINGTON, DC 20036 USA&lt;/_place_published&gt;&lt;_ref_count&gt;70&lt;/_ref_count&gt;&lt;_social_category&gt;化学：综合(2) &amp;amp; 工程：化工(2) &amp;amp; 绿色可持续发展技术(3)&lt;/_social_category&gt;&lt;_url&gt;https://www.webofscience.com/wos/alldb/full-record/WOS:001127572000001&lt;/_url&gt;&lt;_volume&gt;11&lt;/_volume&gt;&lt;/Details&gt;&lt;Extra&gt;&lt;DBUID&gt;{7A4864DA-D1F8-4ACD-BB24-0EAEEAFDB637}&lt;/DBUID&gt;&lt;/Extra&gt;&lt;/Item&gt;&lt;/References&gt;&lt;/Group&gt;&lt;/Citation&gt;_x000a_"/>
    <w:docVar w:name="NE.Ref{54A7B481-F9ED-4007-82EE-46CD3C429BD2}" w:val=" ADDIN NE.Ref.{54A7B481-F9ED-4007-82EE-46CD3C429BD2}&lt;Citation&gt;&lt;Group&gt;&lt;References&gt;&lt;Item&gt;&lt;ID&gt;238&lt;/ID&gt;&lt;UID&gt;{AAFCA4FD-13E9-41E0-BD4B-42BFB24E922E}&lt;/UID&gt;&lt;Title&gt;Physicochemical parameters combined flash GC e-nose and artificial neural network for quality and volatile characterization of vinegar with different brewing techniques&lt;/Title&gt;&lt;Template&gt;Journal Article&lt;/Template&gt;&lt;Star&gt;0&lt;/Star&gt;&lt;Tag&gt;0&lt;/Tag&gt;&lt;Author&gt;Li, Yu; Fei, Chenghao; Mao, Chunqin; Ji, De; Gong, Jingwen; Qin, Yuwen; Qu, Lingyun; Zhang, Wei; Bian, Zhenhua; Su, Lianlin; Lu, Tulin&lt;/Author&gt;&lt;Year&gt;0&lt;/Year&gt;&lt;Details&gt;&lt;_created&gt;65321935&lt;/_created&gt;&lt;_db_provider&gt;北京万方数据股份有限公司&lt;/_db_provider&gt;&lt;_db_updated&gt;Wanfangdata&lt;/_db_updated&gt;&lt;_keywords&gt;Vinegar; Flash GC e-nose; Artificial neural network (ANN); Volatiles; Classification&lt;/_keywords&gt;&lt;_modified&gt;65321935&lt;/_modified&gt;&lt;_url&gt;https://d.wanfangdata.com.cn/periodical/ChlQZXJpb2RpY2FsRU5HTmV3UzIwMjMwODMxEiA1MGYwMWFmZmNiODBlYTU0M2I4YmYxNzJkNzU4OTJmZBoIbXBoZXdnOXI%3D&lt;/_url&gt;&lt;/Details&gt;&lt;Extra&gt;&lt;DBUID&gt;{7A4864DA-D1F8-4ACD-BB24-0EAEEAFDB637}&lt;/DBUID&gt;&lt;/Extra&gt;&lt;/Item&gt;&lt;/References&gt;&lt;/Group&gt;&lt;/Citation&gt;_x000a_"/>
    <w:docVar w:name="NE.Ref{611D83D4-1786-4018-8B3F-B114BD6AC336}" w:val=" ADDIN NE.Ref.{611D83D4-1786-4018-8B3F-B114BD6AC336}&lt;Citation&gt;&lt;Group&gt;&lt;References&gt;&lt;Item&gt;&lt;ID&gt;232&lt;/ID&gt;&lt;UID&gt;{1475EBDF-42D7-4BC4-BE84-57BFA92751D1}&lt;/UID&gt;&lt;Title&gt;Elemental Composition of Commercial Herbal Tea Plants and Respective Infusions&lt;/Title&gt;&lt;Template&gt;Journal Article&lt;/Template&gt;&lt;Star&gt;0&lt;/Star&gt;&lt;Tag&gt;0&lt;/Tag&gt;&lt;Author&gt;Fernandes, J; Reboredo, F H; Luis, I; Silva, M M; Simoes, M M; Lidon, F C; Ramalho, J C&lt;/Author&gt;&lt;Year&gt;2022&lt;/Year&gt;&lt;Details&gt;&lt;_accession_num&gt;35684185&lt;/_accession_num&gt;&lt;_author_adr&gt;Departamento Ciencias da Terra, Faculdade de Ciencias e Tecnologia, Campus da  Caparica, Universidade NOVA de Lisboa, 2829-516 Caparica, Portugal.; Departamento Ciencias da Terra, Faculdade de Ciencias e Tecnologia, Campus da  Caparica, Universidade NOVA de Lisboa, 2829-516 Caparica, Portugal.; GeoBioTec, Departamento de Ciencias da Terra, Faculdade de Ciencias e Tecnologia,  Campus da Caparica, Universidade NOVA de Lisboa, 2829-516 Caparica, Portugal.; Departamento Ciencias da Terra, Faculdade de Ciencias e Tecnologia, Campus da  Caparica, Universidade NOVA de Lisboa, 2829-516 Caparica, Portugal.; GeoBioTec, Departamento de Ciencias da Terra, Faculdade de Ciencias e Tecnologia,  Campus da Caparica, Universidade NOVA de Lisboa, 2829-516 Caparica, Portugal.; ESEAG-COFAC, Avenida do Campo Grande 376, 1749-024 Lisboa, Portugal.; Departamento Ciencias da Terra, Faculdade de Ciencias e Tecnologia, Campus da  Caparica, Universidade NOVA de Lisboa, 2829-516 Caparica, Portugal.; GeoBioTec, Departamento de Ciencias da Terra, Faculdade de Ciencias e Tecnologia,  Campus da Caparica, Universidade NOVA de Lisboa, 2829-516 Caparica, Portugal.; Departamento Ciencias da Terra, Faculdade de Ciencias e Tecnologia, Campus da  Caparica, Universidade NOVA de Lisboa, 2829-516 Caparica, Portugal.; GeoBioTec, Departamento de Ciencias da Terra, Faculdade de Ciencias e Tecnologia,  Campus da Caparica, Universidade NOVA de Lisboa, 2829-516 Caparica, Portugal.; GeoBioTec, Departamento de Ciencias da Terra, Faculdade de Ciencias e Tecnologia,  Campus da Caparica, Universidade NOVA de Lisboa, 2829-516 Caparica, Portugal.; Plant Stress &amp;amp; Biodiversity Lab, Centro de Estudos Florestais (CEF), Instituto  Superior Agronomia (ISA), Universidade de Lisboa (ULisboa), Quinta do Marques,  Av. Republica, 2784-505 Oeiras, Portugal.&lt;/_author_adr&gt;&lt;_collection_scope&gt;SCIE&lt;/_collection_scope&gt;&lt;_created&gt;65320846&lt;/_created&gt;&lt;_date&gt;2022-05-26&lt;/_date&gt;&lt;_date_display&gt;2022 May 26&lt;/_date_display&gt;&lt;_db_updated&gt;PubMed&lt;/_db_updated&gt;&lt;_doi&gt;10.3390/plants11111412&lt;/_doi&gt;&lt;_impact_factor&gt;   4.500&lt;/_impact_factor&gt;&lt;_isbn&gt;2223-7747 (Print); 2223-7747 (Electronic); 2223-7747 (Linking)&lt;/_isbn&gt;&lt;_issue&gt;11&lt;/_issue&gt;&lt;_journal&gt;Plants (Basel)&lt;/_journal&gt;&lt;_keywords&gt;PCA analysis; X-ray fluorescence; elemental composition; herbal infusions; herbal tea samples; inductively coupled plasma-atomic emission spectroscopy&lt;/_keywords&gt;&lt;_language&gt;eng&lt;/_language&gt;&lt;_modified&gt;65320846&lt;/_modified&gt;&lt;_social_category&gt;农艺学(3) &amp;amp; 植物科学(3)&lt;/_social_category&gt;&lt;_tertiary_title&gt;Plants (Basel, Switzerland)&lt;/_tertiary_title&gt;&lt;_type_work&gt;Journal Article&lt;/_type_work&gt;&lt;_url&gt;http://www.ncbi.nlm.nih.gov/entrez/query.fcgi?cmd=Retrieve&amp;amp;db=pubmed&amp;amp;dopt=Abstract&amp;amp;list_uids=35684185&amp;amp;query_hl=1&lt;/_url&gt;&lt;_volume&gt;11&lt;/_volume&gt;&lt;/Details&gt;&lt;Extra&gt;&lt;DBUID&gt;{7A4864DA-D1F8-4ACD-BB24-0EAEEAFDB637}&lt;/DBUID&gt;&lt;/Extra&gt;&lt;/Item&gt;&lt;/References&gt;&lt;/Group&gt;&lt;Group&gt;&lt;References&gt;&lt;Item&gt;&lt;ID&gt;264&lt;/ID&gt;&lt;UID&gt;{6ECC8D09-E995-438B-8A56-8E89E27282DD}&lt;/UID&gt;&lt;Title&gt;Content of essential oil, terpenoids and polyphenols in commercial chamomile(Chamomilla recutita L Rauschert) teas from different countries&lt;/Title&gt;&lt;Template&gt;Journal Article&lt;/Template&gt;&lt;Star&gt;0&lt;/Star&gt;&lt;Tag&gt;0&lt;/Tag&gt;&lt;Author&gt;Raal, Ain; Orav, Anne; Piissa, Tonu; Vainer, Catri; Malmiste, Birgit; Arak, Elmar&lt;/Author&gt;&lt;Year&gt;2012&lt;/Year&gt;&lt;Details&gt;&lt;_author_adr&gt;塔尔图大学; 爱沙尼亚塔林理工大学&lt;/_author_adr&gt;&lt;_author_aff&gt;塔尔图大学; 爱沙尼亚塔林理工大学&lt;/_author_aff&gt;&lt;_collection_scope&gt;SCIE;EI&lt;/_collection_scope&gt;&lt;_created&gt;65339830&lt;/_created&gt;&lt;_db_provider&gt;北京万方数据股份有限公司&lt;/_db_provider&gt;&lt;_db_updated&gt;Wanfangdata&lt;/_db_updated&gt;&lt;_impact_factor&gt;   8.800&lt;/_impact_factor&gt;&lt;_isbn&gt;0308-8146&lt;/_isbn&gt;&lt;_issue&gt;2&lt;/_issue&gt;&lt;_journal&gt;Food Chemistry&lt;/_journal&gt;&lt;_keywords&gt;chamomile tea; chamomilla recutita; commercial samples; essential oil; german chamomile; herbal infusion; polyphenols&lt;/_keywords&gt;&lt;_language&gt;eng&lt;/_language&gt;&lt;_modified&gt;65339830&lt;/_modified&gt;&lt;_pages&gt;632-638&lt;/_pages&gt;&lt;_social_category&gt;应用化学(1) &amp;amp; 食品科技(1) &amp;amp; 营养学(1)&lt;/_social_category&gt;&lt;_url&gt;https://d.wanfangdata.com.cn/periodical/ChlQZXJpb2RpY2FsRU5HTmV3UzIwMjMwODMxEiBjOWNjODhiNmJiYmZkYzVkMmJhYTVkNzBhNTY3YTk3ZBoIcWY1NHYxYnk%3D&lt;/_url&gt;&lt;_volume&gt;131&lt;/_volume&gt;&lt;/Details&gt;&lt;Extra&gt;&lt;DBUID&gt;{7A4864DA-D1F8-4ACD-BB24-0EAEEAFDB637}&lt;/DBUID&gt;&lt;/Extra&gt;&lt;/Item&gt;&lt;/References&gt;&lt;/Group&gt;&lt;/Citation&gt;_x000a_"/>
    <w:docVar w:name="NE.Ref{6383C691-FFD2-445B-9366-DD05C8DC3F33}" w:val=" ADDIN NE.Ref.{6383C691-FFD2-445B-9366-DD05C8DC3F33}&lt;Citation&gt;&lt;Group&gt;&lt;References&gt;&lt;Item&gt;&lt;ID&gt;255&lt;/ID&gt;&lt;UID&gt;{15E80553-8C2F-4758-84C2-59A4D0D26285}&lt;/UID&gt;&lt;Title&gt;A Comprehensive Study of Therapeutic Applications of Chamomile&lt;/Title&gt;&lt;Template&gt;Journal Article&lt;/Template&gt;&lt;Star&gt;0&lt;/Star&gt;&lt;Tag&gt;0&lt;/Tag&gt;&lt;Author&gt;Sah, A; Naseef, P P; Kuruniyan, M S; Jain, G K; Zakir, F; Aggarwal, G&lt;/Author&gt;&lt;Year&gt;2022&lt;/Year&gt;&lt;Details&gt;&lt;_accession_num&gt;36297396&lt;/_accession_num&gt;&lt;_author_adr&gt;Department of Pharmaceutics, Delhi Institute of Pharmaceutical Sciences and  Research, Delhi Pharmaceutical Sciences and Research University, Sector-3, M.B.  Road, Pushp Vihar, New Delhi 110017, India.; Department of Pharmaceutics, Moulana College of Pharmacy, Perinthalmanna 679321,  India.; Department of Dental Technology, College of Applied Medical Sciences, King Khalid  University, Abha 61421, Saudi Arabia.; Department of Pharmaceutics, Delhi Institute of Pharmaceutical Sciences and  Research, Delhi Pharmaceutical Sciences and Research University, Sector-3, M.B.  Road, Pushp Vihar, New Delhi 110017, India.; Center for Advanced Formulation Development, Delhi Pharmaceutical Sciences and  Research University, Sector-3, M.B. Road, Pushp Vihar, New Delhi 110017, India.; Department of B. Pharm (Ayurveda), School of Pharmaceutical Sciences, Delhi  Pharmaceutical Sciences and Research University, Sector-3, M.B. Road, Pushp  Vihar, New Delhi 110017, India.; Center for Advanced Formulation Development, Delhi Pharmaceutical Sciences and  Research University, Sector-3, M.B. Road, Pushp Vihar, New Delhi 110017, India.; Department of Pharmaceutics, School of Pharmaceutical Sciences, Delhi  Pharmaceutical Sciences and Research University, Sector-3, M.B. Road, Pushp  Vihar, New Delhi 110017, India.&lt;/_author_adr&gt;&lt;_collection_scope&gt;SCIE&lt;/_collection_scope&gt;&lt;_created&gt;65326808&lt;/_created&gt;&lt;_date&gt;2022-10-19&lt;/_date&gt;&lt;_date_display&gt;2022 Oct 19&lt;/_date_display&gt;&lt;_db_updated&gt;PubMed&lt;/_db_updated&gt;&lt;_doi&gt;10.3390/ph15101284&lt;/_doi&gt;&lt;_impact_factor&gt;   4.600&lt;/_impact_factor&gt;&lt;_isbn&gt;1424-8247 (Print); 1424-8247 (Electronic); 1424-8247 (Linking)&lt;/_isbn&gt;&lt;_issue&gt;10&lt;/_issue&gt;&lt;_journal&gt;Pharmaceuticals (Basel)&lt;/_journal&gt;&lt;_keywords&gt;apigenin; bisabalool; chamomile; chamomilla; flavonoid; matricaria&lt;/_keywords&gt;&lt;_language&gt;eng&lt;/_language&gt;&lt;_modified&gt;65326808&lt;/_modified&gt;&lt;_social_category&gt;药物化学(3) &amp;amp; 药学(3)&lt;/_social_category&gt;&lt;_tertiary_title&gt;Pharmaceuticals (Basel, Switzerland)&lt;/_tertiary_title&gt;&lt;_type_work&gt;Journal Article; Review&lt;/_type_work&gt;&lt;_url&gt;http://www.ncbi.nlm.nih.gov/entrez/query.fcgi?cmd=Retrieve&amp;amp;db=pubmed&amp;amp;dopt=Abstract&amp;amp;list_uids=36297396&amp;amp;query_hl=1&lt;/_url&gt;&lt;_volume&gt;15&lt;/_volume&gt;&lt;/Details&gt;&lt;Extra&gt;&lt;DBUID&gt;{7A4864DA-D1F8-4ACD-BB24-0EAEEAFDB637}&lt;/DBUID&gt;&lt;/Extra&gt;&lt;/Item&gt;&lt;/References&gt;&lt;/Group&gt;&lt;Group&gt;&lt;References&gt;&lt;Item&gt;&lt;ID&gt;254&lt;/ID&gt;&lt;UID&gt;{79D33936-0D66-417C-A86A-CEF298724971}&lt;/UID&gt;&lt;Title&gt;A Comprehensive Review on Biology, Genetic Improvement, Agro and Process  Technology of German Chamomile (Matricaria chamomilla L.)&lt;/Title&gt;&lt;Template&gt;Journal Article&lt;/Template&gt;&lt;Star&gt;0&lt;/Star&gt;&lt;Tag&gt;0&lt;/Tag&gt;&lt;Author&gt;Chauhan, R; Singh, S; Kumar, V; Kumar, A; Kumari, A; Rathore, S; Kumar, R; Singh, S&lt;/Author&gt;&lt;Year&gt;2021&lt;/Year&gt;&lt;Details&gt;&lt;_accession_num&gt;35009033&lt;/_accession_num&gt;&lt;_author_adr&gt;Division of Agrotechnology, Council of Scientific and Industrial  Research-Institute of Himalayan Bioresource Technology (CSIR-IHBT), Palampur  176061, India.; Division of Agrotechnology, Council of Scientific and Industrial  Research-Institute of Himalayan Bioresource Technology (CSIR-IHBT), Palampur  176061, India.; Division of Environmental Technology, CSIR-IHBT, Palampur 176061, India.; Division of Agrotechnology, Council of Scientific and Industrial  Research-Institute of Himalayan Bioresource Technology (CSIR-IHBT), Palampur  176061, India.; Division of Chemical Technology, CSIR-IHBT, Palampur 176061, India.; Academy of Scientific and Industrial Research, Ghaziabad 201002, India.; Division of Agrotechnology, Council of Scientific and Industrial  Research-Institute of Himalayan Bioresource Technology (CSIR-IHBT), Palampur  176061, India.; Division of Agrotechnology, Council of Scientific and Industrial  Research-Institute of Himalayan Bioresource Technology (CSIR-IHBT), Palampur  176061, India.&lt;/_author_adr&gt;&lt;_collection_scope&gt;SCIE&lt;/_collection_scope&gt;&lt;_created&gt;65326790&lt;/_created&gt;&lt;_date&gt;2021-12-23&lt;/_date&gt;&lt;_date_display&gt;2021 Dec 23&lt;/_date_display&gt;&lt;_db_updated&gt;PubMed&lt;/_db_updated&gt;&lt;_doi&gt;10.3390/plants11010029&lt;/_doi&gt;&lt;_impact_factor&gt;   4.500&lt;/_impact_factor&gt;&lt;_isbn&gt;2223-7747 (Print); 2223-7747 (Electronic); 2223-7747 (Linking)&lt;/_isbn&gt;&lt;_issue&gt;1&lt;/_issue&gt;&lt;_journal&gt;Plants (Basel)&lt;/_journal&gt;&lt;_keywords&gt;agronomy; chamomile; essential oil; genetic improvement; pharmacological uses&lt;/_keywords&gt;&lt;_language&gt;eng&lt;/_language&gt;&lt;_modified&gt;65326792&lt;/_modified&gt;&lt;_social_category&gt;农艺学(3) &amp;amp; 植物科学(3)&lt;/_social_category&gt;&lt;_tertiary_title&gt;Plants (Basel, Switzerland)&lt;/_tertiary_title&gt;&lt;_type_work&gt;Journal Article; Review&lt;/_type_work&gt;&lt;_url&gt;http://www.ncbi.nlm.nih.gov/entrez/query.fcgi?cmd=Retrieve&amp;amp;db=pubmed&amp;amp;dopt=Abstract&amp;amp;list_uids=35009033&amp;amp;query_hl=1&lt;/_url&gt;&lt;_volume&gt;11&lt;/_volume&gt;&lt;/Details&gt;&lt;Extra&gt;&lt;DBUID&gt;{7A4864DA-D1F8-4ACD-BB24-0EAEEAFDB637}&lt;/DBUID&gt;&lt;/Extra&gt;&lt;/Item&gt;&lt;/References&gt;&lt;/Group&gt;&lt;/Citation&gt;_x000a_"/>
    <w:docVar w:name="NE.Ref{6B00CCAF-98E1-420C-9509-0ED1B23BB36A}" w:val=" ADDIN NE.Ref.{6B00CCAF-98E1-420C-9509-0ED1B23BB36A}&lt;Citation&gt;&lt;Group&gt;&lt;References&gt;&lt;Item&gt;&lt;ID&gt;258&lt;/ID&gt;&lt;UID&gt;{B52250FD-AFCE-49DE-A3C5-184F8DFA5B0F}&lt;/UID&gt;&lt;Title&gt;Correlation among environmental factors, chemical composition and antioxidative properties of essential oil and extracts of chamomile (Matricaria chamomilla L.) collected in Molise (South-central Italy)&lt;/Title&gt;&lt;Template&gt;Journal Article&lt;/Template&gt;&lt;Star&gt;0&lt;/Star&gt;&lt;Tag&gt;0&lt;/Tag&gt;&lt;Author&gt;Formisano, Carmen; Delfine, Sebastiano; Oliviero, Filomena; Tenore, Gian Carlo; Rigano, Daniela; Senatore, Felice&lt;/Author&gt;&lt;Year&gt;2015&lt;/Year&gt;&lt;Details&gt;&lt;_author_adr&gt;费德里科II大学&lt;/_author_adr&gt;&lt;_author_aff&gt;费德里科II大学&lt;/_author_aff&gt;&lt;_collection_scope&gt;SCIE;EI&lt;/_collection_scope&gt;&lt;_created&gt;65332270&lt;/_created&gt;&lt;_db_provider&gt;北京万方数据股份有限公司&lt;/_db_provider&gt;&lt;_db_updated&gt;Wanfangdata&lt;/_db_updated&gt;&lt;_doi&gt;10.1016/j.indcrop.2014.09.042&lt;/_doi&gt;&lt;_impact_factor&gt;   5.900&lt;/_impact_factor&gt;&lt;_isbn&gt;0926-6690&lt;/_isbn&gt;&lt;_journal&gt;Industrial Crops and Products&lt;/_journal&gt;&lt;_keywords&gt;Matricaria chamomilla; Essential oil; Cis-tonghaosu; alpha-Bisabolol oxide; Phenolic compounds; Antioxidant activity&lt;/_keywords&gt;&lt;_language&gt;eng&lt;/_language&gt;&lt;_modified&gt;65332272&lt;/_modified&gt;&lt;_pages&gt;256-263&lt;/_pages&gt;&lt;_social_category&gt;农业工程(1) &amp;amp; 农艺学(1)&lt;/_social_category&gt;&lt;_url&gt;https://d.wanfangdata.com.cn/periodical/ChlQZXJpb2RpY2FsRU5HTmV3UzIwMjMwODMxEiA5MTQxZTQ0N2Q3MmJiYTI5MGRkNDhkMDA4ODBjOGQ1MhoIcHpqNW00aHI%3D&lt;/_url&gt;&lt;_volume&gt;63&lt;/_volume&gt;&lt;/Details&gt;&lt;Extra&gt;&lt;DBUID&gt;{7A4864DA-D1F8-4ACD-BB24-0EAEEAFDB637}&lt;/DBUID&gt;&lt;/Extra&gt;&lt;/Item&gt;&lt;/References&gt;&lt;/Group&gt;&lt;/Citation&gt;_x000a_"/>
    <w:docVar w:name="NE.Ref{8AA72257-4557-47DA-BE93-F2FEE00FEBA7}" w:val=" ADDIN NE.Ref.{8AA72257-4557-47DA-BE93-F2FEE00FEBA7}&lt;Citation&gt;&lt;Group&gt;&lt;References&gt;&lt;Item&gt;&lt;ID&gt;255&lt;/ID&gt;&lt;UID&gt;{15E80553-8C2F-4758-84C2-59A4D0D26285}&lt;/UID&gt;&lt;Title&gt;A Comprehensive Study of Therapeutic Applications of Chamomile&lt;/Title&gt;&lt;Template&gt;Journal Article&lt;/Template&gt;&lt;Star&gt;0&lt;/Star&gt;&lt;Tag&gt;0&lt;/Tag&gt;&lt;Author&gt;Sah, A; Naseef, P P; Kuruniyan, M S; Jain, G K; Zakir, F; Aggarwal, G&lt;/Author&gt;&lt;Year&gt;2022&lt;/Year&gt;&lt;Details&gt;&lt;_accession_num&gt;36297396&lt;/_accession_num&gt;&lt;_author_adr&gt;Department of Pharmaceutics, Delhi Institute of Pharmaceutical Sciences and  Research, Delhi Pharmaceutical Sciences and Research University, Sector-3, M.B.  Road, Pushp Vihar, New Delhi 110017, India.; Department of Pharmaceutics, Moulana College of Pharmacy, Perinthalmanna 679321,  India.; Department of Dental Technology, College of Applied Medical Sciences, King Khalid  University, Abha 61421, Saudi Arabia.; Department of Pharmaceutics, Delhi Institute of Pharmaceutical Sciences and  Research, Delhi Pharmaceutical Sciences and Research University, Sector-3, M.B.  Road, Pushp Vihar, New Delhi 110017, India.; Center for Advanced Formulation Development, Delhi Pharmaceutical Sciences and  Research University, Sector-3, M.B. Road, Pushp Vihar, New Delhi 110017, India.; Department of B. Pharm (Ayurveda), School of Pharmaceutical Sciences, Delhi  Pharmaceutical Sciences and Research University, Sector-3, M.B. Road, Pushp  Vihar, New Delhi 110017, India.; Center for Advanced Formulation Development, Delhi Pharmaceutical Sciences and  Research University, Sector-3, M.B. Road, Pushp Vihar, New Delhi 110017, India.; Department of Pharmaceutics, School of Pharmaceutical Sciences, Delhi  Pharmaceutical Sciences and Research University, Sector-3, M.B. Road, Pushp  Vihar, New Delhi 110017, India.&lt;/_author_adr&gt;&lt;_collection_scope&gt;SCIE&lt;/_collection_scope&gt;&lt;_created&gt;65326808&lt;/_created&gt;&lt;_date&gt;2022-10-19&lt;/_date&gt;&lt;_date_display&gt;2022 Oct 19&lt;/_date_display&gt;&lt;_db_updated&gt;PubMed&lt;/_db_updated&gt;&lt;_doi&gt;10.3390/ph15101284&lt;/_doi&gt;&lt;_impact_factor&gt;   4.600&lt;/_impact_factor&gt;&lt;_isbn&gt;1424-8247 (Print); 1424-8247 (Electronic); 1424-8247 (Linking)&lt;/_isbn&gt;&lt;_issue&gt;10&lt;/_issue&gt;&lt;_journal&gt;Pharmaceuticals (Basel)&lt;/_journal&gt;&lt;_keywords&gt;apigenin; bisabalool; chamomile; chamomilla; flavonoid; matricaria&lt;/_keywords&gt;&lt;_language&gt;eng&lt;/_language&gt;&lt;_modified&gt;65326808&lt;/_modified&gt;&lt;_social_category&gt;药物化学(3) &amp;amp; 药学(3)&lt;/_social_category&gt;&lt;_tertiary_title&gt;Pharmaceuticals (Basel, Switzerland)&lt;/_tertiary_title&gt;&lt;_type_work&gt;Journal Article; Review&lt;/_type_work&gt;&lt;_url&gt;http://www.ncbi.nlm.nih.gov/entrez/query.fcgi?cmd=Retrieve&amp;amp;db=pubmed&amp;amp;dopt=Abstract&amp;amp;list_uids=36297396&amp;amp;query_hl=1&lt;/_url&gt;&lt;_volume&gt;15&lt;/_volume&gt;&lt;/Details&gt;&lt;Extra&gt;&lt;DBUID&gt;{7A4864DA-D1F8-4ACD-BB24-0EAEEAFDB637}&lt;/DBUID&gt;&lt;/Extra&gt;&lt;/Item&gt;&lt;/References&gt;&lt;/Group&gt;&lt;/Citation&gt;_x000a_"/>
    <w:docVar w:name="NE.Ref{958F2A53-E791-4352-8826-8C50C9DD664E}" w:val=" ADDIN NE.Ref.{958F2A53-E791-4352-8826-8C50C9DD664E}&lt;Citation&gt;&lt;Group&gt;&lt;References&gt;&lt;Item&gt;&lt;ID&gt;264&lt;/ID&gt;&lt;UID&gt;{6ECC8D09-E995-438B-8A56-8E89E27282DD}&lt;/UID&gt;&lt;Title&gt;Content of essential oil, terpenoids and polyphenols in commercial chamomile(Chamomilla recutita L Rauschert) teas from different countries&lt;/Title&gt;&lt;Template&gt;Journal Article&lt;/Template&gt;&lt;Star&gt;0&lt;/Star&gt;&lt;Tag&gt;0&lt;/Tag&gt;&lt;Author&gt;Raal, Ain; Orav, Anne; Piissa, Tonu; Vainer, Catri; Malmiste, Birgit; Arak, Elmar&lt;/Author&gt;&lt;Year&gt;2012&lt;/Year&gt;&lt;Details&gt;&lt;_author_adr&gt;塔尔图大学; 爱沙尼亚塔林理工大学&lt;/_author_adr&gt;&lt;_author_aff&gt;塔尔图大学; 爱沙尼亚塔林理工大学&lt;/_author_aff&gt;&lt;_collection_scope&gt;SCIE;EI&lt;/_collection_scope&gt;&lt;_created&gt;65339830&lt;/_created&gt;&lt;_db_provider&gt;北京万方数据股份有限公司&lt;/_db_provider&gt;&lt;_db_updated&gt;Wanfangdata&lt;/_db_updated&gt;&lt;_impact_factor&gt;   8.800&lt;/_impact_factor&gt;&lt;_isbn&gt;0308-8146&lt;/_isbn&gt;&lt;_issue&gt;2&lt;/_issue&gt;&lt;_journal&gt;Food Chemistry&lt;/_journal&gt;&lt;_keywords&gt;chamomile tea; chamomilla recutita; commercial samples; essential oil; german chamomile; herbal infusion; polyphenols&lt;/_keywords&gt;&lt;_language&gt;eng&lt;/_language&gt;&lt;_modified&gt;65339830&lt;/_modified&gt;&lt;_pages&gt;632-638&lt;/_pages&gt;&lt;_social_category&gt;应用化学(1) &amp;amp; 食品科技(1) &amp;amp; 营养学(1)&lt;/_social_category&gt;&lt;_url&gt;https://d.wanfangdata.com.cn/periodical/ChlQZXJpb2RpY2FsRU5HTmV3UzIwMjMwODMxEiBjOWNjODhiNmJiYmZkYzVkMmJhYTVkNzBhNTY3YTk3ZBoIcWY1NHYxYnk%3D&lt;/_url&gt;&lt;_volume&gt;131&lt;/_volume&gt;&lt;/Details&gt;&lt;Extra&gt;&lt;DBUID&gt;{7A4864DA-D1F8-4ACD-BB24-0EAEEAFDB637}&lt;/DBUID&gt;&lt;/Extra&gt;&lt;/Item&gt;&lt;/References&gt;&lt;/Group&gt;&lt;/Citation&gt;_x000a_"/>
    <w:docVar w:name="NE.Ref{A35A8253-DED8-4AE3-ADDB-AEA36AB48BD8}" w:val=" ADDIN NE.Ref.{A35A8253-DED8-4AE3-ADDB-AEA36AB48BD8}&lt;Citation&gt;&lt;Group&gt;&lt;References&gt;&lt;Item&gt;&lt;ID&gt;248&lt;/ID&gt;&lt;UID&gt;{EF81A7E8-EF83-4B37-8CF1-B1B1C83F2537}&lt;/UID&gt;&lt;Title&gt;Phyllotaxis development: a lesson from the Asteraceae family&lt;/Title&gt;&lt;Template&gt;Journal Article&lt;/Template&gt;&lt;Star&gt;0&lt;/Star&gt;&lt;Tag&gt;0&lt;/Tag&gt;&lt;Author&gt;Liu, J; Yuan, Q; Dong, Y&lt;/Author&gt;&lt;Year&gt;2021&lt;/Year&gt;&lt;Details&gt;&lt;_accession_num&gt;34172385&lt;/_accession_num&gt;&lt;_author_adr&gt;State Key Laboratory of Systematic and Evolutionary Botany, Institute of Botany,  the Chinese Academy of Sciences, 20 Nanxincun, Xiangshan, Beijing 100093, China.; State Key Laboratory of Systematic and Evolutionary Botany, Institute of Botany,  the Chinese Academy of Sciences, 20 Nanxincun, Xiangshan, Beijing 100093, China.; State Key Laboratory of Systematic and Evolutionary Botany, Institute of Botany,  the Chinese Academy of Sciences, 20 Nanxincun, Xiangshan, Beijing 100093, China.  Electronic address: Yang.Dong@ibcas.ac.cn.&lt;/_author_adr&gt;&lt;_collection_scope&gt;SCIE&lt;/_collection_scope&gt;&lt;_created&gt;65326233&lt;/_created&gt;&lt;_date&gt;2021-09-01&lt;/_date&gt;&lt;_date_display&gt;2021 Sep&lt;/_date_display&gt;&lt;_db_updated&gt;PubMed&lt;/_db_updated&gt;&lt;_doi&gt;10.1016/j.tplants.2021.06.002&lt;/_doi&gt;&lt;_impact_factor&gt;  20.500&lt;/_impact_factor&gt;&lt;_isbn&gt;1878-4372 (Electronic); 1360-1385 (Linking)&lt;/_isbn&gt;&lt;_issue&gt;9&lt;/_issue&gt;&lt;_journal&gt;Trends Plant Sci&lt;/_journal&gt;&lt;_keywords&gt;Asteraceae; Fibonacci numbers; Gerbera hybrida; auxin maxima; capitulum development; phyllotaxis&lt;/_keywords&gt;&lt;_language&gt;eng&lt;/_language&gt;&lt;_modified&gt;65326233&lt;/_modified&gt;&lt;_ori_publication&gt;Copyright (c) 2021 Elsevier Ltd. All rights reserved.&lt;/_ori_publication&gt;&lt;_pages&gt;873-875&lt;/_pages&gt;&lt;_social_category&gt;农艺学(1) &amp;amp; 植物科学(1)&lt;/_social_category&gt;&lt;_subject_headings&gt;*Asteraceae; Flowers; Gene Expression Regulation, Plant; Phylogeny; Plant Leaves&lt;/_subject_headings&gt;&lt;_tertiary_title&gt;Trends in plant science&lt;/_tertiary_title&gt;&lt;_type_work&gt;Comment; Journal Article; Research Support, Non-U.S. Gov&amp;apos;t&lt;/_type_work&gt;&lt;_url&gt;http://www.ncbi.nlm.nih.gov/entrez/query.fcgi?cmd=Retrieve&amp;amp;db=pubmed&amp;amp;dopt=Abstract&amp;amp;list_uids=34172385&amp;amp;query_hl=1&lt;/_url&gt;&lt;_volume&gt;26&lt;/_volume&gt;&lt;/Details&gt;&lt;Extra&gt;&lt;DBUID&gt;{7A4864DA-D1F8-4ACD-BB24-0EAEEAFDB637}&lt;/DBUID&gt;&lt;/Extra&gt;&lt;/Item&gt;&lt;/References&gt;&lt;/Group&gt;&lt;/Citation&gt;_x000a_"/>
    <w:docVar w:name="NE.Ref{B25A15F9-C6A2-4E39-8A1C-A3735FA386A5}" w:val=" ADDIN NE.Ref.{B25A15F9-C6A2-4E39-8A1C-A3735FA386A5}&lt;Citation&gt;&lt;Group&gt;&lt;References&gt;&lt;Item&gt;&lt;ID&gt;249&lt;/ID&gt;&lt;UID&gt;{887380CC-374A-4F7A-BC4C-C9E4E769F8A8}&lt;/UID&gt;&lt;Title&gt;A review of the bioactivity and potential health benefits of chamomile tea  (Matricaria recutita L.)&lt;/Title&gt;&lt;Template&gt;Journal Article&lt;/Template&gt;&lt;Star&gt;0&lt;/Star&gt;&lt;Tag&gt;0&lt;/Tag&gt;&lt;Author&gt;McKay, D L; Blumberg, J B&lt;/Author&gt;&lt;Year&gt;2006&lt;/Year&gt;&lt;Details&gt;&lt;_accession_num&gt;16628544&lt;/_accession_num&gt;&lt;_author_adr&gt;USDA Human Nutrition Research Center on Aging at Tufts University, 711 Washington  Street, Boston, MA 02111, USA. diane.mckay@tufts.edu&lt;/_author_adr&gt;&lt;_collection_scope&gt;SCIE&lt;/_collection_scope&gt;&lt;_created&gt;65326241&lt;/_created&gt;&lt;_date&gt;2006-07-01&lt;/_date&gt;&lt;_date_display&gt;2006 Jul&lt;/_date_display&gt;&lt;_db_updated&gt;PubMed&lt;/_db_updated&gt;&lt;_doi&gt;10.1002/ptr.1900&lt;/_doi&gt;&lt;_impact_factor&gt;   7.200&lt;/_impact_factor&gt;&lt;_isbn&gt;0951-418X (Print); 0951-418X (Linking)&lt;/_isbn&gt;&lt;_issue&gt;7&lt;/_issue&gt;&lt;_journal&gt;Phytother Res&lt;/_journal&gt;&lt;_language&gt;eng&lt;/_language&gt;&lt;_modified&gt;65326241&lt;/_modified&gt;&lt;_pages&gt;519-30&lt;/_pages&gt;&lt;_social_category&gt;药物化学(2) &amp;amp; 药学(2)&lt;/_social_category&gt;&lt;_subject_headings&gt;*Beverages; *Health; Humans; Matricaria/*chemistry; *Phytotherapy; Plant Extracts/adverse effects/pharmacology/therapeutic use; *Plants, Medicinal/adverse effects&lt;/_subject_headings&gt;&lt;_tertiary_title&gt;Phytotherapy research : PTR&lt;/_tertiary_title&gt;&lt;_type_work&gt;Journal Article; Research Support, U.S. Gov&amp;apos;t, Non-P.H.S.; Review&lt;/_type_work&gt;&lt;_url&gt;http://www.ncbi.nlm.nih.gov/entrez/query.fcgi?cmd=Retrieve&amp;amp;db=pubmed&amp;amp;dopt=Abstract&amp;amp;list_uids=16628544&amp;amp;query_hl=1&lt;/_url&gt;&lt;_volume&gt;20&lt;/_volume&gt;&lt;/Details&gt;&lt;Extra&gt;&lt;DBUID&gt;{7A4864DA-D1F8-4ACD-BB24-0EAEEAFDB637}&lt;/DBUID&gt;&lt;/Extra&gt;&lt;/Item&gt;&lt;/References&gt;&lt;/Group&gt;&lt;/Citation&gt;_x000a_"/>
    <w:docVar w:name="NE.Ref{B3156A31-F630-49F4-9932-E4D4810E52ED}" w:val=" ADDIN NE.Ref.{B3156A31-F630-49F4-9932-E4D4810E52ED}&lt;Citation&gt;&lt;Group&gt;&lt;References&gt;&lt;Item&gt;&lt;ID&gt;245&lt;/ID&gt;&lt;UID&gt;{908DD19F-A632-4204-8A2E-5B1B20E547BA}&lt;/UID&gt;&lt;Title&gt;Psychopharmacological profile of Chamomile (Matricaria recutita L.) essential oil  in mice&lt;/Title&gt;&lt;Template&gt;Journal Article&lt;/Template&gt;&lt;Star&gt;0&lt;/Star&gt;&lt;Tag&gt;0&lt;/Tag&gt;&lt;Author&gt;Can, O D; Demir, Ozkay U; Kiyan, H T; Demirci, B&lt;/Author&gt;&lt;Year&gt;2012&lt;/Year&gt;&lt;Details&gt;&lt;_accession_num&gt;22070986&lt;/_accession_num&gt;&lt;_author_adr&gt;Anadolu University, Faculty of Pharmacy, Department of Pharmacology, 26470  Eskisehir, Turkey. ozgurdt@anadolu.edu.tr&lt;/_author_adr&gt;&lt;_collection_scope&gt;SCIE&lt;/_collection_scope&gt;&lt;_created&gt;65326211&lt;/_created&gt;&lt;_date&gt;2012-02-15&lt;/_date&gt;&lt;_date_display&gt;2012 Feb 15&lt;/_date_display&gt;&lt;_db_updated&gt;PubMed&lt;/_db_updated&gt;&lt;_doi&gt;10.1016/j.phymed.2011.10.001&lt;/_doi&gt;&lt;_impact_factor&gt;   7.900&lt;/_impact_factor&gt;&lt;_isbn&gt;1618-095X (Electronic); 0944-7113 (Linking)&lt;/_isbn&gt;&lt;_issue&gt;3-4&lt;/_issue&gt;&lt;_journal&gt;Phytomedicine&lt;/_journal&gt;&lt;_language&gt;eng&lt;/_language&gt;&lt;_modified&gt;65326211&lt;/_modified&gt;&lt;_ori_publication&gt;Copyright (c) 2011 Elsevier GmbH. All rights reserved.&lt;/_ori_publication&gt;&lt;_pages&gt;306-10&lt;/_pages&gt;&lt;_social_category&gt;农艺学(1) &amp;amp; 药物化学(2) &amp;amp; 全科医学与补充医学(1) &amp;amp; 药学(1) &amp;amp; 植物科学(1)&lt;/_social_category&gt;&lt;_subject_headings&gt;Animals; Behavior, Animal/*drug effects; Depression/drug therapy; Exploratory Behavior/drug effects; Flowers/chemistry; Gas Chromatography-Mass Spectrometry; Male; Matricaria/*chemistry; Mice; Mice, Inbred BALB C; Monocyclic Sesquiterpenes; Motor Activity; Oils, Volatile/administration &amp;amp; dosage/chemistry/*pharmacology; Phytotherapy; Plant Oils/administration &amp;amp; dosage/chemistry/pharmacology; Psychopharmacology; Psychotropic Drugs/chemistry/*pharmacology; Sesquiterpenes/chemistry/pharmacology&lt;/_subject_headings&gt;&lt;_tertiary_title&gt;Phytomedicine : international journal of phytotherapy and phytopharmacology&lt;/_tertiary_title&gt;&lt;_type_work&gt;Journal Article&lt;/_type_work&gt;&lt;_url&gt;http://www.ncbi.nlm.nih.gov/entrez/query.fcgi?cmd=Retrieve&amp;amp;db=pubmed&amp;amp;dopt=Abstract&amp;amp;list_uids=22070986&amp;amp;query_hl=1&lt;/_url&gt;&lt;_volume&gt;19&lt;/_volume&gt;&lt;/Details&gt;&lt;Extra&gt;&lt;DBUID&gt;{7A4864DA-D1F8-4ACD-BB24-0EAEEAFDB637}&lt;/DBUID&gt;&lt;/Extra&gt;&lt;/Item&gt;&lt;/References&gt;&lt;/Group&gt;&lt;/Citation&gt;_x000a_"/>
    <w:docVar w:name="NE.Ref{B39AB058-ADA6-43D0-B7B7-53EF5A2ADF49}" w:val=" ADDIN NE.Ref.{B39AB058-ADA6-43D0-B7B7-53EF5A2ADF49}&lt;Citation&gt;&lt;Group&gt;&lt;References&gt;&lt;Item&gt;&lt;ID&gt;246&lt;/ID&gt;&lt;UID&gt;{3B7231A6-8017-47A2-82F2-18579CE17C85}&lt;/UID&gt;&lt;Title&gt;Composition and Bioactivities of an (E)-beta-Farnesene Chemotype of Chamomile  (Matricaria chamomilla) Essential Oil from Nepal&lt;/Title&gt;&lt;Template&gt;Journal Article&lt;/Template&gt;&lt;Star&gt;0&lt;/Star&gt;&lt;Tag&gt;0&lt;/Tag&gt;&lt;Author&gt;Satyal, P; Shrestha, S; Setzer, W N&lt;/Author&gt;&lt;Year&gt;2015&lt;/Year&gt;&lt;Details&gt;&lt;_accession_num&gt;26434140&lt;/_accession_num&gt;&lt;_collection_scope&gt;SCIE&lt;/_collection_scope&gt;&lt;_created&gt;65326217&lt;/_created&gt;&lt;_date&gt;2015-08-01&lt;/_date&gt;&lt;_date_display&gt;2015 Aug&lt;/_date_display&gt;&lt;_db_updated&gt;PubMed&lt;/_db_updated&gt;&lt;_impact_factor&gt;   1.800&lt;/_impact_factor&gt;&lt;_isbn&gt;1934-578X (Print); 1555-9475 (Linking)&lt;/_isbn&gt;&lt;_issue&gt;8&lt;/_issue&gt;&lt;_journal&gt;Nat Prod Commun&lt;/_journal&gt;&lt;_language&gt;eng&lt;/_language&gt;&lt;_modified&gt;65326217&lt;/_modified&gt;&lt;_pages&gt;1453-7&lt;/_pages&gt;&lt;_social_category&gt;药物化学(4) &amp;amp; 食品科技(4)&lt;/_social_category&gt;&lt;_subject_headings&gt;Animals; Anti-Infective Agents/chemistry/pharmacology; Bacteria/drug effects; Drosophila melanogaster/drug effects; Fungi/drug effects; Gas Chromatography-Mass Spectrometry; Insecticides/chemistry/pharmacology; Matricaria/*chemistry/classification; Nepal; Oils, Volatile/*chemistry/pharmacology; Plant Oils/*chemistry/pharmacology; Sesquiterpenes/*chemistry/pharmacology&lt;/_subject_headings&gt;&lt;_tertiary_title&gt;Natural product communications&lt;/_tertiary_title&gt;&lt;_type_work&gt;Journal Article&lt;/_type_work&gt;&lt;_url&gt;http://www.ncbi.nlm.nih.gov/entrez/query.fcgi?cmd=Retrieve&amp;amp;db=pubmed&amp;amp;dopt=Abstract&amp;amp;list_uids=26434140&amp;amp;query_hl=1&lt;/_url&gt;&lt;_volume&gt;10&lt;/_volume&gt;&lt;/Details&gt;&lt;Extra&gt;&lt;DBUID&gt;{7A4864DA-D1F8-4ACD-BB24-0EAEEAFDB637}&lt;/DBUID&gt;&lt;/Extra&gt;&lt;/Item&gt;&lt;/References&gt;&lt;/Group&gt;&lt;/Citation&gt;_x000a_"/>
    <w:docVar w:name="NE.Ref{B3D660DA-D536-43D4-81AC-E6E7CF4C29B1}" w:val=" ADDIN NE.Ref.{B3D660DA-D536-43D4-81AC-E6E7CF4C29B1}&lt;Citation&gt;&lt;Group&gt;&lt;References&gt;&lt;Item&gt;&lt;ID&gt;239&lt;/ID&gt;&lt;UID&gt;{108A2CC5-A521-4171-8CFC-E59905DAD7BE}&lt;/UID&gt;&lt;Title&gt;Headspace GC/MS and fast GC e-nose combined with chemometric analysis to identify the varieties and geographical origins of ginger (Zingiber officinale Roscoe)&lt;/Title&gt;&lt;Template&gt;Journal Article&lt;/Template&gt;&lt;Star&gt;0&lt;/Star&gt;&lt;Tag&gt;0&lt;/Tag&gt;&lt;Author&gt;X., Yu D; S., Guo; H., Yan; M., Wang J; Q., Zhou J; A., Duan J; X., Zhang; J., Yang&lt;/Author&gt;&lt;Year&gt;2022&lt;/Year&gt;&lt;Details&gt;&lt;_collection_scope&gt;SCIE;EI&lt;/_collection_scope&gt;&lt;_created&gt;65321941&lt;/_created&gt;&lt;_db_provider&gt;北京万方数据股份有限公司&lt;/_db_provider&gt;&lt;_db_updated&gt;Wanfangdata&lt;/_db_updated&gt;&lt;_doi&gt;10.1016/j.foodchem.2022.133672&lt;/_doi&gt;&lt;_impact_factor&gt;   8.800&lt;/_impact_factor&gt;&lt;_isbn&gt;0308-8146&lt;/_isbn&gt;&lt;_issue&gt;Dec.1&lt;/_issue&gt;&lt;_journal&gt;Food Chemistry&lt;/_journal&gt;&lt;_keywords&gt;Chemometrics; fast GC e-nose; Geographical origin discrimination; Ginger; HS-GC–MS&lt;/_keywords&gt;&lt;_language&gt;eng&lt;/_language&gt;&lt;_modified&gt;65321941&lt;/_modified&gt;&lt;_pages&gt;1-11&lt;/_pages&gt;&lt;_social_category&gt;应用化学(1) &amp;amp; 食品科技(1) &amp;amp; 营养学(1)&lt;/_social_category&gt;&lt;_url&gt;https://d.wanfangdata.com.cn/periodical/ChlQZXJpb2RpY2FsRU5HTmV3UzIwMjMwODMxEiAzMjkyYTZmZDViZTdiNDc0MDNjYzE1ZDFlNmU2NjU3OBoIdTd2c2s2ZWg%3D&lt;/_url&gt;&lt;_volume&gt;396&lt;/_volume&gt;&lt;/Details&gt;&lt;Extra&gt;&lt;DBUID&gt;{7A4864DA-D1F8-4ACD-BB24-0EAEEAFDB637}&lt;/DBUID&gt;&lt;/Extra&gt;&lt;/Item&gt;&lt;/References&gt;&lt;/Group&gt;&lt;/Citation&gt;_x000a_"/>
    <w:docVar w:name="NE.Ref{BFE7DD9E-45F7-4DF8-9E25-9483394C71A7}" w:val=" ADDIN NE.Ref.{BFE7DD9E-45F7-4DF8-9E25-9483394C71A7}&lt;Citation&gt;&lt;Group&gt;&lt;References&gt;&lt;Item&gt;&lt;ID&gt;239&lt;/ID&gt;&lt;UID&gt;{108A2CC5-A521-4171-8CFC-E59905DAD7BE}&lt;/UID&gt;&lt;Title&gt;Headspace GC/MS and fast GC e-nose combined with chemometric analysis to identify the varieties and geographical origins of ginger (Zingiber officinale Roscoe)&lt;/Title&gt;&lt;Template&gt;Journal Article&lt;/Template&gt;&lt;Star&gt;0&lt;/Star&gt;&lt;Tag&gt;0&lt;/Tag&gt;&lt;Author&gt;X., Yu D; S., Guo; H., Yan; M., Wang J; Q., Zhou J; A., Duan J; X., Zhang; J., Yang&lt;/Author&gt;&lt;Year&gt;2022&lt;/Year&gt;&lt;Details&gt;&lt;_collection_scope&gt;SCIE;EI&lt;/_collection_scope&gt;&lt;_created&gt;65321941&lt;/_created&gt;&lt;_db_provider&gt;北京万方数据股份有限公司&lt;/_db_provider&gt;&lt;_db_updated&gt;Wanfangdata&lt;/_db_updated&gt;&lt;_doi&gt;10.1016/j.foodchem.2022.133672&lt;/_doi&gt;&lt;_impact_factor&gt;   8.800&lt;/_impact_factor&gt;&lt;_isbn&gt;0308-8146&lt;/_isbn&gt;&lt;_issue&gt;Dec.1&lt;/_issue&gt;&lt;_journal&gt;Food Chemistry&lt;/_journal&gt;&lt;_keywords&gt;Chemometrics; fast GC e-nose; Geographical origin discrimination; Ginger; HS-GC–MS&lt;/_keywords&gt;&lt;_language&gt;eng&lt;/_language&gt;&lt;_modified&gt;65321941&lt;/_modified&gt;&lt;_pages&gt;1-11&lt;/_pages&gt;&lt;_social_category&gt;应用化学(1) &amp;amp; 食品科技(1) &amp;amp; 营养学(1)&lt;/_social_category&gt;&lt;_url&gt;https://d.wanfangdata.com.cn/periodical/ChlQZXJpb2RpY2FsRU5HTmV3UzIwMjMwODMxEiAzMjkyYTZmZDViZTdiNDc0MDNjYzE1ZDFlNmU2NjU3OBoIdTd2c2s2ZWg%3D&lt;/_url&gt;&lt;_volume&gt;396&lt;/_volume&gt;&lt;/Details&gt;&lt;Extra&gt;&lt;DBUID&gt;{7A4864DA-D1F8-4ACD-BB24-0EAEEAFDB637}&lt;/DBUID&gt;&lt;/Extra&gt;&lt;/Item&gt;&lt;/References&gt;&lt;/Group&gt;&lt;/Citation&gt;_x000a_"/>
    <w:docVar w:name="NE.Ref{C06B2113-FBFE-402C-BC50-799DF263C095}" w:val=" ADDIN NE.Ref.{C06B2113-FBFE-402C-BC50-799DF263C095}&lt;Citation&gt;&lt;Group&gt;&lt;References&gt;&lt;Item&gt;&lt;ID&gt;266&lt;/ID&gt;&lt;UID&gt;{B18A1D5F-8949-45C0-AED4-995B28B8E16B}&lt;/UID&gt;&lt;Title&gt;Bioactive compounds from Matricaria chamomilla: structure identification, in  vitro antiproliferative, antimigratory, antiangiogenic, and antiadenoviral  activities&lt;/Title&gt;&lt;Template&gt;Journal Article&lt;/Template&gt;&lt;Star&gt;0&lt;/Star&gt;&lt;Tag&gt;0&lt;/Tag&gt;&lt;Author&gt;Shaaban, M; El-Hagrassi, A M; Osman, A F; Soltan, M M&lt;/Author&gt;&lt;Year&gt;2022&lt;/Year&gt;&lt;Details&gt;&lt;_accession_num&gt;34463438&lt;/_accession_num&gt;&lt;_author_adr&gt;Chemistry of Natural Compounds Department, Division of Pharmaceutical Industries,  National Research Centre, El-Behoos St. 33, Dokki-Cairo 12622, Egypt.; Department of Phytochemistry and Plant Systematics, Division of Pharmaceutical  Industries, National Research Centre, El-Behoos St. 33, Dokki-Cairo 12622, Egypt.; Chemistry of Natural Compounds Department, Division of Pharmaceutical Industries,  National Research Centre, El-Behoos St. 33, Dokki-Cairo 12622, Egypt.; Biology Unit, Central Laboratory for Pharmaceutical and Drug Industries Research  Division, Chemistry of Medicinal Plants Department, National Research Centre,  Dokki-Cairo, Egypt.&lt;/_author_adr&gt;&lt;_collection_scope&gt;SCIE&lt;/_collection_scope&gt;&lt;_created&gt;65376626&lt;/_created&gt;&lt;_date&gt;2022-03-28&lt;/_date&gt;&lt;_date_display&gt;2022 Mar 28&lt;/_date_display&gt;&lt;_db_updated&gt;PubMed&lt;/_db_updated&gt;&lt;_doi&gt;10.1515/znc-2021-0083&lt;/_doi&gt;&lt;_impact_factor&gt;   2.000&lt;/_impact_factor&gt;&lt;_isbn&gt;1865-7125 (Electronic); 0341-0382 (Linking)&lt;/_isbn&gt;&lt;_issue&gt;3-4&lt;/_issue&gt;&lt;_journal&gt;Z Naturforsch C J Biosci&lt;/_journal&gt;&lt;_keywords&gt;Matricaria chamomilla; Antiangiogenic; antiadeno-7 virus activity; antimigratory; antiproliferative; bioactive compounds&lt;/_keywords&gt;&lt;_language&gt;eng&lt;/_language&gt;&lt;_modified&gt;65376627&lt;/_modified&gt;&lt;_ori_publication&gt;(c) 2021 Walter de Gruyter GmbH, Berlin/Boston.&lt;/_ori_publication&gt;&lt;_pages&gt;85-94&lt;/_pages&gt;&lt;_social_category&gt;生化与分子生物学(4) &amp;amp; 药学(4)&lt;/_social_category&gt;&lt;_subject_headings&gt;Caco-2 Cells; Flowers/chemistry; Humans; *Matricaria/chemistry; *Oils, Volatile/analysis; Plant Extracts/chemistry; *Plants, Medicinal&lt;/_subject_headings&gt;&lt;_tertiary_title&gt;Zeitschrift fur Naturforschung. C, Journal of biosciences&lt;/_tertiary_title&gt;&lt;_type_work&gt;Journal Article&lt;/_type_work&gt;&lt;_url&gt;http://www.ncbi.nlm.nih.gov/entrez/query.fcgi?cmd=Retrieve&amp;amp;db=pubmed&amp;amp;dopt=Abstract&amp;amp;list_uids=34463438&amp;amp;query_hl=1&lt;/_url&gt;&lt;_volume&gt;77&lt;/_volume&gt;&lt;/Details&gt;&lt;Extra&gt;&lt;DBUID&gt;{7A4864DA-D1F8-4ACD-BB24-0EAEEAFDB637}&lt;/DBUID&gt;&lt;/Extra&gt;&lt;/Item&gt;&lt;/References&gt;&lt;/Group&gt;&lt;/Citation&gt;_x000a_"/>
    <w:docVar w:name="NE.Ref{CA252233-6607-438A-8984-F2D510215BAA}" w:val=" ADDIN NE.Ref.{CA252233-6607-438A-8984-F2D510215BAA}&lt;Citation&gt;&lt;Group&gt;&lt;References&gt;&lt;Item&gt;&lt;ID&gt;265&lt;/ID&gt;&lt;UID&gt;{8B19E942-1967-48B2-B439-499BE7E06C95}&lt;/UID&gt;&lt;Title&gt;α-红没药醇对胶质母细胞瘤细胞迁移和侵袭的影响&lt;/Title&gt;&lt;Template&gt;Journal Article&lt;/Template&gt;&lt;Star&gt;0&lt;/Star&gt;&lt;Tag&gt;0&lt;/Tag&gt;&lt;Author&gt;闫海斌; 徐如祥&lt;/Author&gt;&lt;Year&gt;2018&lt;/Year&gt;&lt;Details&gt;&lt;_author_aff&gt;解放军总医院;陆军总医院附属八一脑科医院;&lt;/_author_aff&gt;&lt;_cited_count&gt;14&lt;/_cited_count&gt;&lt;_date&gt;2018-07-30&lt;/_date&gt;&lt;_issue&gt;08&lt;/_issue&gt;&lt;_journal&gt;解放军医学院学报&lt;/_journal&gt;&lt;_keywords&gt;α-红没药醇;胶质母细胞瘤;迁移;侵袭;c-Met&lt;/_keywords&gt;&lt;_pages&gt;699-706&lt;/_pages&gt;&lt;_url&gt;https://link.cnki.net/urlid/10.1117.R.20180730.0959.002&lt;/_url&gt;&lt;_volume&gt;39&lt;/_volume&gt;&lt;_created&gt;65376625&lt;/_created&gt;&lt;_modified&gt;65376625&lt;/_modified&gt;&lt;_db_updated&gt;CNKI - Reference&lt;/_db_updated&gt;&lt;_collection_scope&gt;PKU&lt;/_collection_scope&gt;&lt;_translated_author&gt;Yan, Hai bin;Xu, Ru xiang&lt;/_translated_author&gt;&lt;/Details&gt;&lt;Extra&gt;&lt;DBUID&gt;{7A4864DA-D1F8-4ACD-BB24-0EAEEAFDB637}&lt;/DBUID&gt;&lt;/Extra&gt;&lt;/Item&gt;&lt;/References&gt;&lt;/Group&gt;&lt;/Citation&gt;_x000a_"/>
    <w:docVar w:name="NE.Ref{D8B2FAA1-4A28-4AB0-9035-CAC42532AA73}" w:val=" ADDIN NE.Ref.{D8B2FAA1-4A28-4AB0-9035-CAC42532AA73}&lt;Citation&gt;&lt;Group&gt;&lt;References&gt;&lt;Item&gt;&lt;ID&gt;233&lt;/ID&gt;&lt;UID&gt;{871B2DDD-C19D-47C1-AE18-6DE4F051FE3C}&lt;/UID&gt;&lt;Title&gt;GGE biplot and regression based multi-environment investigations for higher yield and essential oil content in German chamomile (Matricaria chamomilla L.)&lt;/Title&gt;&lt;Template&gt;Journal Article&lt;/Template&gt;&lt;Star&gt;0&lt;/Star&gt;&lt;Tag&gt;0&lt;/Tag&gt;&lt;Author&gt;Shakya, Pooja; Thakur, Romika; Sharan, Hari; Yadav, Niketa; Kumar, Manish; Chauhan, Ramesh; Kumar, Dinesh; Kumar, Ashok; Singh, Sanatsujat; Singh, Satbeer&lt;/Author&gt;&lt;Year&gt;2023&lt;/Year&gt;&lt;Details&gt;&lt;_alternate_title&gt;Industrial Crops and Products&lt;/_alternate_title&gt;&lt;_collection_scope&gt;SCIE;EI&lt;/_collection_scope&gt;&lt;_created&gt;65321017&lt;/_created&gt;&lt;_date&gt;2023-01-01&lt;/_date&gt;&lt;_date_display&gt;2023&lt;/_date_display&gt;&lt;_db_updated&gt;ScienceDirect&lt;/_db_updated&gt;&lt;_doi&gt;https://doi.org/10.1016/j.indcrop.2022.116145&lt;/_doi&gt;&lt;_impact_factor&gt;   5.900&lt;/_impact_factor&gt;&lt;_isbn&gt;0926-6690&lt;/_isbn&gt;&lt;_journal&gt;Industrial Crops and Products&lt;/_journal&gt;&lt;_keywords&gt;Stability; Genetic parameters; Multi-location; G×E interaction&lt;/_keywords&gt;&lt;_modified&gt;65321017&lt;/_modified&gt;&lt;_pages&gt;116145&lt;/_pages&gt;&lt;_social_category&gt;农业工程(1) &amp;amp; 农艺学(1)&lt;/_social_category&gt;&lt;_url&gt;https://www.sciencedirect.com/science/article/pii/S0926669022016284&lt;/_url&gt;&lt;_volume&gt;193&lt;/_volume&gt;&lt;/Details&gt;&lt;Extra&gt;&lt;DBUID&gt;{7A4864DA-D1F8-4ACD-BB24-0EAEEAFDB637}&lt;/DBUID&gt;&lt;/Extra&gt;&lt;/Item&gt;&lt;/References&gt;&lt;/Group&gt;&lt;/Citation&gt;_x000a_"/>
    <w:docVar w:name="NE.Ref{DC274041-7E34-4CBA-AC18-FAE49421AB58}" w:val=" ADDIN NE.Ref.{DC274041-7E34-4CBA-AC18-FAE49421AB58}&lt;Citation&gt;&lt;Group&gt;&lt;References&gt;&lt;Item&gt;&lt;ID&gt;260&lt;/ID&gt;&lt;UID&gt;{A9059DC6-64EF-4162-8642-825226C8E7D0}&lt;/UID&gt;&lt;Title&gt;维药洋甘菊化学成分与质量标准研究&lt;/Title&gt;&lt;Template&gt;Thesis&lt;/Template&gt;&lt;Star&gt;0&lt;/Star&gt;&lt;Tag&gt;0&lt;/Tag&gt;&lt;Author&gt;赵一帆&lt;/Author&gt;&lt;Year&gt;2018&lt;/Year&gt;&lt;Details&gt;&lt;_created&gt;65333419&lt;/_created&gt;&lt;_date&gt;2018-05-16&lt;/_date&gt;&lt;_db_provider&gt;北京万方数据股份有限公司&lt;/_db_provider&gt;&lt;_db_updated&gt;Wanfangdata&lt;/_db_updated&gt;&lt;_keywords&gt;维药洋甘菊; 化学成分; 挥发性成分; 含量测定; 质量标准&lt;/_keywords&gt;&lt;_language&gt;chi&lt;/_language&gt;&lt;_modified&gt;65333419&lt;/_modified&gt;&lt;_publisher&gt;中国中医科学院&lt;/_publisher&gt;&lt;_section&gt;中药学&lt;/_section&gt;&lt;_tertiary_author&gt;杨岚&lt;/_tertiary_author&gt;&lt;_url&gt;https://d.wanfangdata.com.cn/thesis/ChJUaGVzaXNOZXdTMjAyNDAxMDkSCFkzNDkyOTg2GghiczQzc2g0ZA%3D%3D&lt;/_url&gt;&lt;_volume&gt;硕士&lt;/_volume&gt;&lt;_translated_author&gt;Zhao, Yi fan&lt;/_translated_author&gt;&lt;_translated_tertiary_author&gt;Yang, Lan&lt;/_translated_tertiary_author&gt;&lt;/Details&gt;&lt;Extra&gt;&lt;DBUID&gt;{7A4864DA-D1F8-4ACD-BB24-0EAEEAFDB637}&lt;/DBUID&gt;&lt;/Extra&gt;&lt;/Item&gt;&lt;/References&gt;&lt;/Group&gt;&lt;/Citation&gt;_x000a_"/>
    <w:docVar w:name="NE.Ref{F8A768AC-9279-4645-8B52-A293793EBF40}" w:val=" ADDIN NE.Ref.{F8A768AC-9279-4645-8B52-A293793EBF40}&lt;Citation&gt;&lt;Group&gt;&lt;References&gt;&lt;Item&gt;&lt;ID&gt;247&lt;/ID&gt;&lt;UID&gt;{CF43B95C-3F2B-4F54-9622-C1C5F23F26F8}&lt;/UID&gt;&lt;Title&gt;[Flavorand taste change rules of Sophora Flavescentis Radix processed using  ancient classical method:an exploration based on intelligent sensory analysis]&lt;/Title&gt;&lt;Template&gt;Journal Article&lt;/Template&gt;&lt;Star&gt;0&lt;/Star&gt;&lt;Tag&gt;0&lt;/Tag&gt;&lt;Author&gt;Dai, Y; Yu, D R; Liu, Y; Xiao, Y Q; Li, L&lt;/Author&gt;&lt;Year&gt;2021&lt;/Year&gt;&lt;Details&gt;&lt;_accession_num&gt;34994133&lt;/_accession_num&gt;&lt;_author_adr&gt;Institute of Chinese Materia Medica,China Academy of Chinese Medical Sciences  Beijing 100700, China.; Institute of Chinese Materia Medica,China Academy of Chinese Medical Sciences  Beijing 100700, China.; Institute of Chinese Materia Medica,China Academy of Chinese Medical Sciences  Beijing 100700, China.; Institute of Chinese Materia Medica,China Academy of Chinese Medical Sciences  Beijing 100700, China.; Institute of Chinese Materia Medica,China Academy of Chinese Medical Sciences  Beijing 100700, China.&lt;/_author_adr&gt;&lt;_created&gt;65326227&lt;/_created&gt;&lt;_date&gt;2021-12-01&lt;/_date&gt;&lt;_date_display&gt;2021 Dec&lt;/_date_display&gt;&lt;_db_updated&gt;PubMed&lt;/_db_updated&gt;&lt;_doi&gt;10.19540/j.cnki.cjcmm.20210922.301&lt;/_doi&gt;&lt;_isbn&gt;1001-5302 (Print); 1001-5302 (Linking)&lt;/_isbn&gt;&lt;_issue&gt;24&lt;/_issue&gt;&lt;_journal&gt;Zhongguo Zhong Yao Za Zhi&lt;/_journal&gt;&lt;_keywords&gt;Master Lei&amp;apos;s Discourse on Medicinal Processing(Lei Gong Pao Zhi Lun); Sophora Flavescentis Radix; ancient classical processing method; electronic nose; electronic tongue; intelligent sensory analysis&lt;/_keywords&gt;&lt;_language&gt;chi&lt;/_language&gt;&lt;_modified&gt;65326227&lt;/_modified&gt;&lt;_pages&gt;6410-6416&lt;/_pages&gt;&lt;_subject_headings&gt;*Drugs, Chinese Herbal; Electronic Nose; Plant Roots; *Sophora; Taste&lt;/_subject_headings&gt;&lt;_tertiary_title&gt;Zhongguo Zhong yao za zhi = Zhongguo zhongyao zazhi = China journal of Chinese _x000d__x000a_      materia medica&lt;/_tertiary_title&gt;&lt;_type_work&gt;Journal Article&lt;/_type_work&gt;&lt;_url&gt;http://www.ncbi.nlm.nih.gov/entrez/query.fcgi?cmd=Retrieve&amp;amp;db=pubmed&amp;amp;dopt=Abstract&amp;amp;list_uids=34994133&amp;amp;query_hl=1&lt;/_url&gt;&lt;_volume&gt;46&lt;/_volume&gt;&lt;/Details&gt;&lt;Extra&gt;&lt;DBUID&gt;{7A4864DA-D1F8-4ACD-BB24-0EAEEAFDB637}&lt;/DBUID&gt;&lt;/Extra&gt;&lt;/Item&gt;&lt;/References&gt;&lt;/Group&gt;&lt;/Citation&gt;_x000a_"/>
    <w:docVar w:name="NE.Ref{FA087B7A-0CCC-4D29-9C2A-77AF04679F50}" w:val=" ADDIN NE.Ref.{FA087B7A-0CCC-4D29-9C2A-77AF04679F50}&lt;Citation&gt;&lt;Group&gt;&lt;References&gt;&lt;Item&gt;&lt;ID&gt;231&lt;/ID&gt;&lt;UID&gt;{25DE5F00-0EC1-4837-BDE5-C8271BFC2274}&lt;/UID&gt;&lt;Title&gt;A review of the bioactivity and potential health benefits of chamomile tea  (Matricaria recutita L.)&lt;/Title&gt;&lt;Template&gt;Journal Article&lt;/Template&gt;&lt;Star&gt;0&lt;/Star&gt;&lt;Tag&gt;0&lt;/Tag&gt;&lt;Author&gt;McKay, D L; Blumberg, J B&lt;/Author&gt;&lt;Year&gt;2006&lt;/Year&gt;&lt;Details&gt;&lt;_accession_num&gt;16628544&lt;/_accession_num&gt;&lt;_author_adr&gt;USDA Human Nutrition Research Center on Aging at Tufts University, 711 Washington  Street, Boston, MA 02111, USA. diane.mckay@tufts.edu&lt;/_author_adr&gt;&lt;_collection_scope&gt;SCIE&lt;/_collection_scope&gt;&lt;_created&gt;65320841&lt;/_created&gt;&lt;_date&gt;2006-07-01&lt;/_date&gt;&lt;_date_display&gt;2006 Jul&lt;/_date_display&gt;&lt;_db_updated&gt;PubMed&lt;/_db_updated&gt;&lt;_doi&gt;10.1002/ptr.1900&lt;/_doi&gt;&lt;_impact_factor&gt;   7.200&lt;/_impact_factor&gt;&lt;_isbn&gt;0951-418X (Print); 0951-418X (Linking)&lt;/_isbn&gt;&lt;_issue&gt;7&lt;/_issue&gt;&lt;_journal&gt;Phytother Res&lt;/_journal&gt;&lt;_language&gt;eng&lt;/_language&gt;&lt;_modified&gt;65320841&lt;/_modified&gt;&lt;_pages&gt;519-30&lt;/_pages&gt;&lt;_social_category&gt;药物化学(2) &amp;amp; 药学(2)&lt;/_social_category&gt;&lt;_subject_headings&gt;*Beverages; *Health; Humans; Matricaria/*chemistry; *Phytotherapy; Plant Extracts/adverse effects/pharmacology/therapeutic use; *Plants, Medicinal/adverse effects&lt;/_subject_headings&gt;&lt;_tertiary_title&gt;Phytotherapy research : PTR&lt;/_tertiary_title&gt;&lt;_type_work&gt;Journal Article; Research Support, U.S. Gov&amp;apos;t, Non-P.H.S.; Review&lt;/_type_work&gt;&lt;_url&gt;http://www.ncbi.nlm.nih.gov/entrez/query.fcgi?cmd=Retrieve&amp;amp;db=pubmed&amp;amp;dopt=Abstract&amp;amp;list_uids=16628544&amp;amp;query_hl=1&lt;/_url&gt;&lt;_volume&gt;20&lt;/_volume&gt;&lt;/Details&gt;&lt;Extra&gt;&lt;DBUID&gt;{7A4864DA-D1F8-4ACD-BB24-0EAEEAFDB637}&lt;/DBUID&gt;&lt;/Extra&gt;&lt;/Item&gt;&lt;/References&gt;&lt;/Group&gt;&lt;Group&gt;&lt;References&gt;&lt;Item&gt;&lt;ID&gt;232&lt;/ID&gt;&lt;UID&gt;{1475EBDF-42D7-4BC4-BE84-57BFA92751D1}&lt;/UID&gt;&lt;Title&gt;Elemental Composition of Commercial Herbal Tea Plants and Respective Infusions&lt;/Title&gt;&lt;Template&gt;Journal Article&lt;/Template&gt;&lt;Star&gt;0&lt;/Star&gt;&lt;Tag&gt;0&lt;/Tag&gt;&lt;Author&gt;Fernandes, J; Reboredo, F H; Luis, I; Silva, M M; Simoes, M M; Lidon, F C; Ramalho, J C&lt;/Author&gt;&lt;Year&gt;2022&lt;/Year&gt;&lt;Details&gt;&lt;_accession_num&gt;35684185&lt;/_accession_num&gt;&lt;_author_adr&gt;Departamento Ciencias da Terra, Faculdade de Ciencias e Tecnologia, Campus da  Caparica, Universidade NOVA de Lisboa, 2829-516 Caparica, Portugal.; Departamento Ciencias da Terra, Faculdade de Ciencias e Tecnologia, Campus da  Caparica, Universidade NOVA de Lisboa, 2829-516 Caparica, Portugal.; GeoBioTec, Departamento de Ciencias da Terra, Faculdade de Ciencias e Tecnologia,  Campus da Caparica, Universidade NOVA de Lisboa, 2829-516 Caparica, Portugal.; Departamento Ciencias da Terra, Faculdade de Ciencias e Tecnologia, Campus da  Caparica, Universidade NOVA de Lisboa, 2829-516 Caparica, Portugal.; GeoBioTec, Departamento de Ciencias da Terra, Faculdade de Ciencias e Tecnologia,  Campus da Caparica, Universidade NOVA de Lisboa, 2829-516 Caparica, Portugal.; ESEAG-COFAC, Avenida do Campo Grande 376, 1749-024 Lisboa, Portugal.; Departamento Ciencias da Terra, Faculdade de Ciencias e Tecnologia, Campus da  Caparica, Universidade NOVA de Lisboa, 2829-516 Caparica, Portugal.; GeoBioTec, Departamento de Ciencias da Terra, Faculdade de Ciencias e Tecnologia,  Campus da Caparica, Universidade NOVA de Lisboa, 2829-516 Caparica, Portugal.; Departamento Ciencias da Terra, Faculdade de Ciencias e Tecnologia, Campus da  Caparica, Universidade NOVA de Lisboa, 2829-516 Caparica, Portugal.; GeoBioTec, Departamento de Ciencias da Terra, Faculdade de Ciencias e Tecnologia,  Campus da Caparica, Universidade NOVA de Lisboa, 2829-516 Caparica, Portugal.; GeoBioTec, Departamento de Ciencias da Terra, Faculdade de Ciencias e Tecnologia,  Campus da Caparica, Universidade NOVA de Lisboa, 2829-516 Caparica, Portugal.; Plant Stress &amp;amp; Biodiversity Lab, Centro de Estudos Florestais (CEF), Instituto  Superior Agronomia (ISA), Universidade de Lisboa (ULisboa), Quinta do Marques,  Av. Republica, 2784-505 Oeiras, Portugal.&lt;/_author_adr&gt;&lt;_collection_scope&gt;SCIE&lt;/_collection_scope&gt;&lt;_created&gt;65320846&lt;/_created&gt;&lt;_date&gt;2022-05-26&lt;/_date&gt;&lt;_date_display&gt;2022 May 26&lt;/_date_display&gt;&lt;_db_updated&gt;PubMed&lt;/_db_updated&gt;&lt;_doi&gt;10.3390/plants11111412&lt;/_doi&gt;&lt;_impact_factor&gt;   4.500&lt;/_impact_factor&gt;&lt;_isbn&gt;2223-7747 (Print); 2223-7747 (Electronic); 2223-7747 (Linking)&lt;/_isbn&gt;&lt;_issue&gt;11&lt;/_issue&gt;&lt;_journal&gt;Plants (Basel)&lt;/_journal&gt;&lt;_keywords&gt;PCA analysis; X-ray fluorescence; elemental composition; herbal infusions; herbal tea samples; inductively coupled plasma-atomic emission spectroscopy&lt;/_keywords&gt;&lt;_language&gt;eng&lt;/_language&gt;&lt;_modified&gt;65320846&lt;/_modified&gt;&lt;_social_category&gt;农艺学(3) &amp;amp; 植物科学(3)&lt;/_social_category&gt;&lt;_tertiary_title&gt;Plants (Basel, Switzerland)&lt;/_tertiary_title&gt;&lt;_type_work&gt;Journal Article&lt;/_type_work&gt;&lt;_url&gt;http://www.ncbi.nlm.nih.gov/entrez/query.fcgi?cmd=Retrieve&amp;amp;db=pubmed&amp;amp;dopt=Abstract&amp;amp;list_uids=35684185&amp;amp;query_hl=1&lt;/_url&gt;&lt;_volume&gt;11&lt;/_volume&gt;&lt;/Details&gt;&lt;Extra&gt;&lt;DBUID&gt;{7A4864DA-D1F8-4ACD-BB24-0EAEEAFDB637}&lt;/DBUID&gt;&lt;/Extra&gt;&lt;/Item&gt;&lt;/References&gt;&lt;/Group&gt;&lt;/Citation&gt;_x000a_"/>
    <w:docVar w:name="ne_docsoft" w:val="MSWord"/>
    <w:docVar w:name="ne_docversion" w:val="NoteExpress 2.0"/>
    <w:docVar w:name="ne_stylename" w:val="中草药"/>
  </w:docVars>
  <w:rsids>
    <w:rsidRoot w:val="00172A27"/>
    <w:rsid w:val="000407A2"/>
    <w:rsid w:val="000573A9"/>
    <w:rsid w:val="000655E2"/>
    <w:rsid w:val="00080FE0"/>
    <w:rsid w:val="00092EF2"/>
    <w:rsid w:val="000A1516"/>
    <w:rsid w:val="000C4C13"/>
    <w:rsid w:val="0012030C"/>
    <w:rsid w:val="00124D69"/>
    <w:rsid w:val="001260D5"/>
    <w:rsid w:val="001273E0"/>
    <w:rsid w:val="00160266"/>
    <w:rsid w:val="00172A27"/>
    <w:rsid w:val="00175630"/>
    <w:rsid w:val="001766EA"/>
    <w:rsid w:val="001836DF"/>
    <w:rsid w:val="0018545E"/>
    <w:rsid w:val="001A30E8"/>
    <w:rsid w:val="001A535F"/>
    <w:rsid w:val="001B2C94"/>
    <w:rsid w:val="001C1F99"/>
    <w:rsid w:val="001C69E7"/>
    <w:rsid w:val="001C76F6"/>
    <w:rsid w:val="001D0CDE"/>
    <w:rsid w:val="001D3E0E"/>
    <w:rsid w:val="001E2AEB"/>
    <w:rsid w:val="001F0198"/>
    <w:rsid w:val="00204BE3"/>
    <w:rsid w:val="00243653"/>
    <w:rsid w:val="00247843"/>
    <w:rsid w:val="002519D0"/>
    <w:rsid w:val="00254361"/>
    <w:rsid w:val="00265034"/>
    <w:rsid w:val="002713E0"/>
    <w:rsid w:val="00275B44"/>
    <w:rsid w:val="002919AD"/>
    <w:rsid w:val="00294590"/>
    <w:rsid w:val="002B3A4B"/>
    <w:rsid w:val="002B4A2A"/>
    <w:rsid w:val="002D6A12"/>
    <w:rsid w:val="002E3A10"/>
    <w:rsid w:val="002E7247"/>
    <w:rsid w:val="00312DD0"/>
    <w:rsid w:val="00313D10"/>
    <w:rsid w:val="00326141"/>
    <w:rsid w:val="00333563"/>
    <w:rsid w:val="00334387"/>
    <w:rsid w:val="003346FC"/>
    <w:rsid w:val="00350B3B"/>
    <w:rsid w:val="003914DF"/>
    <w:rsid w:val="003A4B7F"/>
    <w:rsid w:val="003D0C5A"/>
    <w:rsid w:val="003F26A8"/>
    <w:rsid w:val="003F312B"/>
    <w:rsid w:val="00401D30"/>
    <w:rsid w:val="004064B7"/>
    <w:rsid w:val="00415B9C"/>
    <w:rsid w:val="004232BB"/>
    <w:rsid w:val="004315EE"/>
    <w:rsid w:val="004359FE"/>
    <w:rsid w:val="00476ADE"/>
    <w:rsid w:val="004A4199"/>
    <w:rsid w:val="004A4322"/>
    <w:rsid w:val="004A71B0"/>
    <w:rsid w:val="004D278C"/>
    <w:rsid w:val="00526502"/>
    <w:rsid w:val="00526ADB"/>
    <w:rsid w:val="00527202"/>
    <w:rsid w:val="00527533"/>
    <w:rsid w:val="0053255F"/>
    <w:rsid w:val="0055562C"/>
    <w:rsid w:val="005923DC"/>
    <w:rsid w:val="005A21A7"/>
    <w:rsid w:val="005B5B5A"/>
    <w:rsid w:val="005C70B1"/>
    <w:rsid w:val="0060137B"/>
    <w:rsid w:val="00624CAE"/>
    <w:rsid w:val="00634BA3"/>
    <w:rsid w:val="00651A46"/>
    <w:rsid w:val="00652F0C"/>
    <w:rsid w:val="00676D2D"/>
    <w:rsid w:val="00681D08"/>
    <w:rsid w:val="00685C15"/>
    <w:rsid w:val="00692264"/>
    <w:rsid w:val="00692393"/>
    <w:rsid w:val="006A1B40"/>
    <w:rsid w:val="006A69B7"/>
    <w:rsid w:val="006E4337"/>
    <w:rsid w:val="006E5513"/>
    <w:rsid w:val="006F3A1F"/>
    <w:rsid w:val="0072365C"/>
    <w:rsid w:val="00764704"/>
    <w:rsid w:val="00784160"/>
    <w:rsid w:val="00796463"/>
    <w:rsid w:val="007B57CF"/>
    <w:rsid w:val="007C039F"/>
    <w:rsid w:val="007D3461"/>
    <w:rsid w:val="007D5729"/>
    <w:rsid w:val="007E13A0"/>
    <w:rsid w:val="007E20DF"/>
    <w:rsid w:val="007E74F3"/>
    <w:rsid w:val="007F292D"/>
    <w:rsid w:val="00817DF9"/>
    <w:rsid w:val="00826878"/>
    <w:rsid w:val="00841227"/>
    <w:rsid w:val="00847C63"/>
    <w:rsid w:val="008579E6"/>
    <w:rsid w:val="008641B9"/>
    <w:rsid w:val="008703A8"/>
    <w:rsid w:val="00873D51"/>
    <w:rsid w:val="008A1C69"/>
    <w:rsid w:val="008A5041"/>
    <w:rsid w:val="008A7E9A"/>
    <w:rsid w:val="008B289A"/>
    <w:rsid w:val="008E2664"/>
    <w:rsid w:val="008F00A1"/>
    <w:rsid w:val="0090193C"/>
    <w:rsid w:val="00906D45"/>
    <w:rsid w:val="00915C7D"/>
    <w:rsid w:val="00924029"/>
    <w:rsid w:val="0092741D"/>
    <w:rsid w:val="0093135B"/>
    <w:rsid w:val="0093795F"/>
    <w:rsid w:val="00954EA5"/>
    <w:rsid w:val="00967C33"/>
    <w:rsid w:val="009A28F8"/>
    <w:rsid w:val="009B0F42"/>
    <w:rsid w:val="009B1312"/>
    <w:rsid w:val="009C17B8"/>
    <w:rsid w:val="009D0429"/>
    <w:rsid w:val="009E0DEB"/>
    <w:rsid w:val="009F2B63"/>
    <w:rsid w:val="009F70E6"/>
    <w:rsid w:val="00A004EE"/>
    <w:rsid w:val="00A338EE"/>
    <w:rsid w:val="00A40A4C"/>
    <w:rsid w:val="00A50652"/>
    <w:rsid w:val="00A82F41"/>
    <w:rsid w:val="00A863D2"/>
    <w:rsid w:val="00AC3148"/>
    <w:rsid w:val="00AD12E5"/>
    <w:rsid w:val="00AD547E"/>
    <w:rsid w:val="00AE2FA4"/>
    <w:rsid w:val="00AE6E21"/>
    <w:rsid w:val="00AF6A72"/>
    <w:rsid w:val="00B05DC9"/>
    <w:rsid w:val="00B407AF"/>
    <w:rsid w:val="00B61C94"/>
    <w:rsid w:val="00B70808"/>
    <w:rsid w:val="00B70B43"/>
    <w:rsid w:val="00B8053B"/>
    <w:rsid w:val="00B916AE"/>
    <w:rsid w:val="00B93694"/>
    <w:rsid w:val="00BA4502"/>
    <w:rsid w:val="00BA732E"/>
    <w:rsid w:val="00BC0CB4"/>
    <w:rsid w:val="00BE01A2"/>
    <w:rsid w:val="00BE4A23"/>
    <w:rsid w:val="00BE5440"/>
    <w:rsid w:val="00BF06B0"/>
    <w:rsid w:val="00BF1202"/>
    <w:rsid w:val="00C10209"/>
    <w:rsid w:val="00C1211E"/>
    <w:rsid w:val="00C42C23"/>
    <w:rsid w:val="00C471D1"/>
    <w:rsid w:val="00C54134"/>
    <w:rsid w:val="00C80AB5"/>
    <w:rsid w:val="00C92553"/>
    <w:rsid w:val="00C93562"/>
    <w:rsid w:val="00CC7ED9"/>
    <w:rsid w:val="00CD2B32"/>
    <w:rsid w:val="00CE0600"/>
    <w:rsid w:val="00CF276C"/>
    <w:rsid w:val="00D036B1"/>
    <w:rsid w:val="00D20599"/>
    <w:rsid w:val="00D30FE8"/>
    <w:rsid w:val="00D82592"/>
    <w:rsid w:val="00D8306D"/>
    <w:rsid w:val="00D84B0A"/>
    <w:rsid w:val="00DB493F"/>
    <w:rsid w:val="00DC4CCD"/>
    <w:rsid w:val="00DF25E8"/>
    <w:rsid w:val="00DF395F"/>
    <w:rsid w:val="00E014E9"/>
    <w:rsid w:val="00E05F48"/>
    <w:rsid w:val="00E069C0"/>
    <w:rsid w:val="00E1136E"/>
    <w:rsid w:val="00E1348D"/>
    <w:rsid w:val="00E220D5"/>
    <w:rsid w:val="00E24B0B"/>
    <w:rsid w:val="00E5223B"/>
    <w:rsid w:val="00E568C3"/>
    <w:rsid w:val="00E62255"/>
    <w:rsid w:val="00E6287B"/>
    <w:rsid w:val="00F00870"/>
    <w:rsid w:val="00F25161"/>
    <w:rsid w:val="00F46911"/>
    <w:rsid w:val="00F866AC"/>
    <w:rsid w:val="00FA359D"/>
    <w:rsid w:val="00FA39C7"/>
    <w:rsid w:val="00FA3BD6"/>
    <w:rsid w:val="00FB5747"/>
    <w:rsid w:val="00FC69D1"/>
    <w:rsid w:val="00FD4496"/>
    <w:rsid w:val="01046A9E"/>
    <w:rsid w:val="03347F2F"/>
    <w:rsid w:val="04C8796C"/>
    <w:rsid w:val="04E11641"/>
    <w:rsid w:val="068C3738"/>
    <w:rsid w:val="0C254758"/>
    <w:rsid w:val="0FE60171"/>
    <w:rsid w:val="11C71B03"/>
    <w:rsid w:val="12B53C2D"/>
    <w:rsid w:val="130F08B3"/>
    <w:rsid w:val="1CEB48AB"/>
    <w:rsid w:val="1DCA4713"/>
    <w:rsid w:val="1EC3161A"/>
    <w:rsid w:val="1F7C21AE"/>
    <w:rsid w:val="1FA40C98"/>
    <w:rsid w:val="225F0539"/>
    <w:rsid w:val="26CC7959"/>
    <w:rsid w:val="271A4B3C"/>
    <w:rsid w:val="2820139C"/>
    <w:rsid w:val="29000C8D"/>
    <w:rsid w:val="29D6775C"/>
    <w:rsid w:val="2DA70590"/>
    <w:rsid w:val="2F413E74"/>
    <w:rsid w:val="30575C63"/>
    <w:rsid w:val="32D27FD7"/>
    <w:rsid w:val="33306B16"/>
    <w:rsid w:val="35FA61F1"/>
    <w:rsid w:val="384A7CF1"/>
    <w:rsid w:val="3A952189"/>
    <w:rsid w:val="3B47491C"/>
    <w:rsid w:val="3C3D4849"/>
    <w:rsid w:val="3D69457B"/>
    <w:rsid w:val="3D896D7B"/>
    <w:rsid w:val="430F5865"/>
    <w:rsid w:val="44621918"/>
    <w:rsid w:val="45933284"/>
    <w:rsid w:val="46BF38D0"/>
    <w:rsid w:val="46DC1387"/>
    <w:rsid w:val="46EE715D"/>
    <w:rsid w:val="47DA1B52"/>
    <w:rsid w:val="4CC96223"/>
    <w:rsid w:val="4DE50652"/>
    <w:rsid w:val="4E56747C"/>
    <w:rsid w:val="50056601"/>
    <w:rsid w:val="53641780"/>
    <w:rsid w:val="53B862EC"/>
    <w:rsid w:val="53D56AAD"/>
    <w:rsid w:val="560E5D47"/>
    <w:rsid w:val="59723C0B"/>
    <w:rsid w:val="5C146DE9"/>
    <w:rsid w:val="5D3256EA"/>
    <w:rsid w:val="5E2D436A"/>
    <w:rsid w:val="61476500"/>
    <w:rsid w:val="64A35B1F"/>
    <w:rsid w:val="6888718C"/>
    <w:rsid w:val="692E5DFB"/>
    <w:rsid w:val="6A9C7464"/>
    <w:rsid w:val="6C4A5310"/>
    <w:rsid w:val="6D1A3679"/>
    <w:rsid w:val="6DC74A88"/>
    <w:rsid w:val="6F165D50"/>
    <w:rsid w:val="717A32EF"/>
    <w:rsid w:val="71F5768E"/>
    <w:rsid w:val="72D05E87"/>
    <w:rsid w:val="73950CB0"/>
    <w:rsid w:val="73AB01D2"/>
    <w:rsid w:val="756A6059"/>
    <w:rsid w:val="783338A4"/>
    <w:rsid w:val="7A4B62B3"/>
    <w:rsid w:val="7E0875A5"/>
    <w:rsid w:val="7ECF14A7"/>
    <w:rsid w:val="7EF1786E"/>
    <w:rsid w:val="7F4B78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qFormat="1" w:uiPriority="0" w:name="footnote text"/>
    <w:lsdException w:qFormat="1" w:unhideWhenUsed="0" w:uiPriority="0" w:semiHidden="0" w:name="annotation text"/>
    <w:lsdException w:qFormat="1" w:unhideWhenUsed="0" w:uiPriority="99" w:semiHidden="0" w:name="header"/>
    <w:lsdException w:qFormat="1" w:unhideWhenUsed="0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qFormat="1" w:unhideWhenUsed="0" w:uiPriority="0" w:semiHidden="0" w:name="annotation reference"/>
    <w:lsdException w:qFormat="1" w:unhideWhenUsed="0" w:uiPriority="99" w:semiHidden="0" w:name="line number"/>
    <w:lsdException w:qFormat="1" w:unhideWhenUsed="0" w:uiPriority="0" w:semiHidden="0" w:name="page number"/>
    <w:lsdException w:qFormat="1" w:unhideWhenUsed="0" w:uiPriority="0" w:semiHidden="0" w:name="endnote reference"/>
    <w:lsdException w:qFormat="1" w:uiPriority="0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qFormat="1" w:unhideWhenUsed="0" w:uiPriority="0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nhideWhenUsed="0" w:uiPriority="99" w:semiHidden="0" w:name="Hyperlink"/>
    <w:lsdException w:qFormat="1" w:unhideWhenUsed="0" w:uiPriority="0" w:semiHidden="0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nhideWhenUsed="0"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qFormat="1" w:unhideWhenUsed="0" w:uiPriority="0" w:semiHidden="0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nhideWhenUsed="0" w:uiPriority="99" w:semiHidden="0" w:name="Balloon Text"/>
    <w:lsdException w:qFormat="1" w:unhideWhenUsed="0" w:uiPriority="59" w:semiHidden="0" w:name="Table Grid"/>
    <w:lsdException w:uiPriority="99" w:name="Table Theme"/>
    <w:lsdException w:qFormat="1" w:unhideWhenUsed="0" w:uiPriority="99" w:name="Placeholder Text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spacing w:line="260" w:lineRule="atLeast"/>
      <w:jc w:val="both"/>
    </w:pPr>
    <w:rPr>
      <w:rFonts w:ascii="Palatino Linotype" w:hAnsi="Palatino Linotype" w:eastAsia="宋体" w:cs="Times New Roman"/>
      <w:color w:val="000000"/>
      <w:lang w:val="en-US" w:eastAsia="zh-CN" w:bidi="ar-SA"/>
    </w:rPr>
  </w:style>
  <w:style w:type="character" w:default="1" w:styleId="13">
    <w:name w:val="Default Paragraph Font"/>
    <w:semiHidden/>
    <w:unhideWhenUsed/>
    <w:qFormat/>
    <w:uiPriority w:val="1"/>
  </w:style>
  <w:style w:type="table" w:default="1" w:styleId="11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annotation text"/>
    <w:basedOn w:val="1"/>
    <w:link w:val="78"/>
    <w:qFormat/>
    <w:uiPriority w:val="0"/>
  </w:style>
  <w:style w:type="paragraph" w:styleId="3">
    <w:name w:val="Body Text"/>
    <w:link w:val="77"/>
    <w:qFormat/>
    <w:uiPriority w:val="0"/>
    <w:pPr>
      <w:spacing w:after="120" w:line="340" w:lineRule="atLeast"/>
      <w:jc w:val="both"/>
    </w:pPr>
    <w:rPr>
      <w:rFonts w:ascii="Palatino Linotype" w:hAnsi="Palatino Linotype" w:eastAsia="宋体" w:cs="Times New Roman"/>
      <w:color w:val="000000"/>
      <w:sz w:val="24"/>
      <w:lang w:val="en-US" w:eastAsia="de-DE" w:bidi="ar-SA"/>
    </w:rPr>
  </w:style>
  <w:style w:type="paragraph" w:styleId="4">
    <w:name w:val="endnote text"/>
    <w:basedOn w:val="1"/>
    <w:link w:val="80"/>
    <w:semiHidden/>
    <w:unhideWhenUsed/>
    <w:qFormat/>
    <w:uiPriority w:val="0"/>
    <w:pPr>
      <w:spacing w:line="240" w:lineRule="auto"/>
    </w:pPr>
  </w:style>
  <w:style w:type="paragraph" w:styleId="5">
    <w:name w:val="Balloon Text"/>
    <w:basedOn w:val="1"/>
    <w:link w:val="50"/>
    <w:qFormat/>
    <w:uiPriority w:val="99"/>
    <w:rPr>
      <w:rFonts w:cs="Tahoma"/>
      <w:szCs w:val="18"/>
    </w:rPr>
  </w:style>
  <w:style w:type="paragraph" w:styleId="6">
    <w:name w:val="footer"/>
    <w:basedOn w:val="1"/>
    <w:link w:val="29"/>
    <w:qFormat/>
    <w:uiPriority w:val="99"/>
    <w:pPr>
      <w:tabs>
        <w:tab w:val="center" w:pos="4153"/>
        <w:tab w:val="right" w:pos="8306"/>
      </w:tabs>
      <w:snapToGrid w:val="0"/>
      <w:spacing w:line="240" w:lineRule="atLeast"/>
    </w:pPr>
    <w:rPr>
      <w:szCs w:val="18"/>
    </w:rPr>
  </w:style>
  <w:style w:type="paragraph" w:styleId="7">
    <w:name w:val="header"/>
    <w:basedOn w:val="1"/>
    <w:link w:val="30"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szCs w:val="18"/>
    </w:rPr>
  </w:style>
  <w:style w:type="paragraph" w:styleId="8">
    <w:name w:val="footnote text"/>
    <w:basedOn w:val="1"/>
    <w:link w:val="81"/>
    <w:semiHidden/>
    <w:unhideWhenUsed/>
    <w:qFormat/>
    <w:uiPriority w:val="0"/>
    <w:pPr>
      <w:spacing w:line="240" w:lineRule="auto"/>
    </w:pPr>
  </w:style>
  <w:style w:type="paragraph" w:styleId="9">
    <w:name w:val="Normal (Web)"/>
    <w:basedOn w:val="1"/>
    <w:qFormat/>
    <w:uiPriority w:val="99"/>
    <w:rPr>
      <w:szCs w:val="24"/>
    </w:rPr>
  </w:style>
  <w:style w:type="paragraph" w:styleId="10">
    <w:name w:val="annotation subject"/>
    <w:basedOn w:val="2"/>
    <w:next w:val="2"/>
    <w:link w:val="79"/>
    <w:qFormat/>
    <w:uiPriority w:val="0"/>
    <w:rPr>
      <w:b/>
      <w:bCs/>
    </w:rPr>
  </w:style>
  <w:style w:type="table" w:styleId="12">
    <w:name w:val="Table Grid"/>
    <w:basedOn w:val="11"/>
    <w:qFormat/>
    <w:uiPriority w:val="59"/>
    <w:pPr>
      <w:spacing w:line="260" w:lineRule="atLeast"/>
      <w:jc w:val="both"/>
    </w:pPr>
    <w:rPr>
      <w:rFonts w:ascii="Palatino Linotype" w:hAnsi="Palatino Linotype"/>
      <w:color w:val="00000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4">
    <w:name w:val="endnote reference"/>
    <w:qFormat/>
    <w:uiPriority w:val="0"/>
    <w:rPr>
      <w:vertAlign w:val="superscript"/>
    </w:rPr>
  </w:style>
  <w:style w:type="character" w:styleId="15">
    <w:name w:val="page number"/>
    <w:qFormat/>
    <w:uiPriority w:val="0"/>
  </w:style>
  <w:style w:type="character" w:styleId="16">
    <w:name w:val="FollowedHyperlink"/>
    <w:qFormat/>
    <w:uiPriority w:val="0"/>
    <w:rPr>
      <w:color w:val="954F72"/>
      <w:u w:val="single"/>
    </w:rPr>
  </w:style>
  <w:style w:type="character" w:styleId="17">
    <w:name w:val="line number"/>
    <w:qFormat/>
    <w:uiPriority w:val="99"/>
    <w:rPr>
      <w:rFonts w:ascii="Palatino Linotype" w:hAnsi="Palatino Linotype"/>
      <w:sz w:val="16"/>
    </w:rPr>
  </w:style>
  <w:style w:type="character" w:styleId="18">
    <w:name w:val="Hyperlink"/>
    <w:qFormat/>
    <w:uiPriority w:val="99"/>
    <w:rPr>
      <w:color w:val="0000FF"/>
      <w:u w:val="single"/>
    </w:rPr>
  </w:style>
  <w:style w:type="character" w:styleId="19">
    <w:name w:val="annotation reference"/>
    <w:qFormat/>
    <w:uiPriority w:val="0"/>
    <w:rPr>
      <w:sz w:val="21"/>
      <w:szCs w:val="21"/>
    </w:rPr>
  </w:style>
  <w:style w:type="paragraph" w:customStyle="1" w:styleId="20">
    <w:name w:val="MDPI_1.1_article_type"/>
    <w:next w:val="1"/>
    <w:qFormat/>
    <w:uiPriority w:val="0"/>
    <w:pPr>
      <w:adjustRightInd w:val="0"/>
      <w:snapToGrid w:val="0"/>
      <w:spacing w:before="240"/>
    </w:pPr>
    <w:rPr>
      <w:rFonts w:ascii="Palatino Linotype" w:hAnsi="Palatino Linotype" w:eastAsia="Times New Roman" w:cs="Times New Roman"/>
      <w:i/>
      <w:snapToGrid w:val="0"/>
      <w:color w:val="000000"/>
      <w:szCs w:val="22"/>
      <w:lang w:val="en-US" w:eastAsia="de-DE" w:bidi="en-US"/>
    </w:rPr>
  </w:style>
  <w:style w:type="paragraph" w:customStyle="1" w:styleId="21">
    <w:name w:val="MDPI_1.2_title"/>
    <w:next w:val="1"/>
    <w:qFormat/>
    <w:uiPriority w:val="0"/>
    <w:pPr>
      <w:adjustRightInd w:val="0"/>
      <w:snapToGrid w:val="0"/>
      <w:spacing w:after="240" w:line="240" w:lineRule="atLeast"/>
    </w:pPr>
    <w:rPr>
      <w:rFonts w:ascii="Palatino Linotype" w:hAnsi="Palatino Linotype" w:eastAsia="Times New Roman" w:cs="Times New Roman"/>
      <w:b/>
      <w:snapToGrid w:val="0"/>
      <w:color w:val="000000"/>
      <w:sz w:val="36"/>
      <w:lang w:val="en-US" w:eastAsia="de-DE" w:bidi="en-US"/>
    </w:rPr>
  </w:style>
  <w:style w:type="paragraph" w:customStyle="1" w:styleId="22">
    <w:name w:val="MDPI_1.3_authornames"/>
    <w:next w:val="1"/>
    <w:qFormat/>
    <w:uiPriority w:val="0"/>
    <w:pPr>
      <w:adjustRightInd w:val="0"/>
      <w:snapToGrid w:val="0"/>
      <w:spacing w:after="360" w:line="260" w:lineRule="atLeast"/>
    </w:pPr>
    <w:rPr>
      <w:rFonts w:ascii="Palatino Linotype" w:hAnsi="Palatino Linotype" w:eastAsia="Times New Roman" w:cs="Times New Roman"/>
      <w:b/>
      <w:color w:val="000000"/>
      <w:szCs w:val="22"/>
      <w:lang w:val="en-US" w:eastAsia="de-DE" w:bidi="en-US"/>
    </w:rPr>
  </w:style>
  <w:style w:type="paragraph" w:customStyle="1" w:styleId="23">
    <w:name w:val="MDPI_1.4_history"/>
    <w:basedOn w:val="1"/>
    <w:next w:val="1"/>
    <w:qFormat/>
    <w:uiPriority w:val="0"/>
    <w:pPr>
      <w:adjustRightInd w:val="0"/>
      <w:snapToGrid w:val="0"/>
      <w:spacing w:line="240" w:lineRule="atLeast"/>
      <w:ind w:right="113"/>
      <w:jc w:val="left"/>
    </w:pPr>
    <w:rPr>
      <w:rFonts w:eastAsia="Times New Roman"/>
      <w:sz w:val="14"/>
      <w:lang w:eastAsia="de-DE" w:bidi="en-US"/>
    </w:rPr>
  </w:style>
  <w:style w:type="paragraph" w:customStyle="1" w:styleId="24">
    <w:name w:val="MDPI_1.6_affiliation"/>
    <w:qFormat/>
    <w:uiPriority w:val="0"/>
    <w:pPr>
      <w:adjustRightInd w:val="0"/>
      <w:snapToGrid w:val="0"/>
      <w:spacing w:line="200" w:lineRule="atLeast"/>
      <w:ind w:left="2806" w:hanging="198"/>
    </w:pPr>
    <w:rPr>
      <w:rFonts w:ascii="Palatino Linotype" w:hAnsi="Palatino Linotype" w:eastAsia="Times New Roman" w:cs="Times New Roman"/>
      <w:color w:val="000000"/>
      <w:sz w:val="16"/>
      <w:szCs w:val="18"/>
      <w:lang w:val="en-US" w:eastAsia="de-DE" w:bidi="en-US"/>
    </w:rPr>
  </w:style>
  <w:style w:type="paragraph" w:customStyle="1" w:styleId="25">
    <w:name w:val="MDPI_1.7_abstract"/>
    <w:next w:val="1"/>
    <w:qFormat/>
    <w:uiPriority w:val="0"/>
    <w:pPr>
      <w:adjustRightInd w:val="0"/>
      <w:snapToGrid w:val="0"/>
      <w:spacing w:before="240" w:line="260" w:lineRule="atLeast"/>
      <w:ind w:left="2608"/>
      <w:jc w:val="both"/>
    </w:pPr>
    <w:rPr>
      <w:rFonts w:ascii="Palatino Linotype" w:hAnsi="Palatino Linotype" w:eastAsia="Times New Roman" w:cs="Times New Roman"/>
      <w:color w:val="000000"/>
      <w:sz w:val="18"/>
      <w:szCs w:val="22"/>
      <w:lang w:val="en-US" w:eastAsia="de-DE" w:bidi="en-US"/>
    </w:rPr>
  </w:style>
  <w:style w:type="paragraph" w:customStyle="1" w:styleId="26">
    <w:name w:val="MDPI_1.8_keywords"/>
    <w:next w:val="1"/>
    <w:qFormat/>
    <w:uiPriority w:val="0"/>
    <w:pPr>
      <w:adjustRightInd w:val="0"/>
      <w:snapToGrid w:val="0"/>
      <w:spacing w:before="240" w:line="260" w:lineRule="atLeast"/>
      <w:ind w:left="2608"/>
      <w:jc w:val="both"/>
    </w:pPr>
    <w:rPr>
      <w:rFonts w:ascii="Palatino Linotype" w:hAnsi="Palatino Linotype" w:eastAsia="Times New Roman" w:cs="Times New Roman"/>
      <w:snapToGrid w:val="0"/>
      <w:color w:val="000000"/>
      <w:sz w:val="18"/>
      <w:szCs w:val="22"/>
      <w:lang w:val="en-US" w:eastAsia="de-DE" w:bidi="en-US"/>
    </w:rPr>
  </w:style>
  <w:style w:type="paragraph" w:customStyle="1" w:styleId="27">
    <w:name w:val="MDPI_1.9_line"/>
    <w:qFormat/>
    <w:uiPriority w:val="0"/>
    <w:pPr>
      <w:pBdr>
        <w:bottom w:val="single" w:color="auto" w:sz="6" w:space="1"/>
      </w:pBdr>
      <w:adjustRightInd w:val="0"/>
      <w:snapToGrid w:val="0"/>
      <w:spacing w:after="480" w:line="260" w:lineRule="atLeast"/>
      <w:ind w:left="2608"/>
      <w:jc w:val="both"/>
    </w:pPr>
    <w:rPr>
      <w:rFonts w:ascii="Palatino Linotype" w:hAnsi="Palatino Linotype" w:eastAsia="Times New Roman" w:cs="Cordia New"/>
      <w:color w:val="000000"/>
      <w:szCs w:val="24"/>
      <w:lang w:val="en-US" w:eastAsia="de-DE" w:bidi="en-US"/>
    </w:rPr>
  </w:style>
  <w:style w:type="table" w:customStyle="1" w:styleId="28">
    <w:name w:val="M_deck_5_table_body_three_lines"/>
    <w:basedOn w:val="11"/>
    <w:qFormat/>
    <w:uiPriority w:val="99"/>
    <w:pPr>
      <w:adjustRightInd w:val="0"/>
      <w:snapToGrid w:val="0"/>
      <w:spacing w:line="300" w:lineRule="exact"/>
      <w:jc w:val="center"/>
    </w:pPr>
    <w:rPr>
      <w:lang w:val="de-DE" w:eastAsia="de-DE"/>
    </w:rPr>
    <w:tblPr>
      <w:jc w:val="center"/>
      <w:tblBorders>
        <w:bottom w:val="single" w:color="auto" w:sz="8" w:space="0"/>
      </w:tblBorders>
    </w:tblPr>
    <w:trPr>
      <w:jc w:val="center"/>
    </w:trPr>
    <w:tcPr>
      <w:vAlign w:val="center"/>
    </w:tcPr>
    <w:tblStylePr w:type="firstRow">
      <w:pPr>
        <w:wordWrap/>
        <w:adjustRightInd w:val="0"/>
        <w:snapToGrid w:val="0"/>
        <w:spacing w:beforeLines="0" w:beforeAutospacing="0" w:afterLines="0" w:afterAutospacing="0" w:line="300" w:lineRule="exact"/>
        <w:ind w:left="0" w:leftChars="0" w:right="0" w:rightChars="0" w:firstLine="0" w:firstLineChars="0"/>
        <w:contextualSpacing w:val="0"/>
        <w:jc w:val="center"/>
        <w:outlineLvl w:val="9"/>
      </w:pPr>
      <w:rPr>
        <w:rFonts w:ascii="Times New Roman" w:hAnsi="Times New Roman" w:eastAsia="Times New Roman"/>
        <w:b w:val="0"/>
        <w:i w:val="0"/>
        <w:snapToGrid w:val="0"/>
        <w:sz w:val="22"/>
      </w:rPr>
      <w:tcPr>
        <w:tcBorders>
          <w:top w:val="single" w:color="auto" w:sz="8" w:space="0"/>
          <w:left w:val="nil"/>
          <w:bottom w:val="single" w:color="auto" w:sz="4" w:space="0"/>
          <w:right w:val="nil"/>
          <w:insideH w:val="nil"/>
          <w:insideV w:val="nil"/>
          <w:tl2br w:val="nil"/>
          <w:tr2bl w:val="nil"/>
        </w:tcBorders>
      </w:tcPr>
    </w:tblStylePr>
  </w:style>
  <w:style w:type="character" w:customStyle="1" w:styleId="29">
    <w:name w:val="页脚 字符"/>
    <w:link w:val="6"/>
    <w:qFormat/>
    <w:uiPriority w:val="99"/>
    <w:rPr>
      <w:rFonts w:ascii="Palatino Linotype" w:hAnsi="Palatino Linotype"/>
      <w:color w:val="000000"/>
      <w:szCs w:val="18"/>
    </w:rPr>
  </w:style>
  <w:style w:type="character" w:customStyle="1" w:styleId="30">
    <w:name w:val="页眉 字符"/>
    <w:link w:val="7"/>
    <w:qFormat/>
    <w:uiPriority w:val="99"/>
    <w:rPr>
      <w:rFonts w:ascii="Palatino Linotype" w:hAnsi="Palatino Linotype"/>
      <w:color w:val="000000"/>
      <w:szCs w:val="18"/>
    </w:rPr>
  </w:style>
  <w:style w:type="paragraph" w:customStyle="1" w:styleId="31">
    <w:name w:val="MDPI_header_journal_logo"/>
    <w:qFormat/>
    <w:uiPriority w:val="0"/>
    <w:pPr>
      <w:adjustRightInd w:val="0"/>
      <w:snapToGrid w:val="0"/>
      <w:spacing w:line="260" w:lineRule="atLeast"/>
      <w:jc w:val="both"/>
    </w:pPr>
    <w:rPr>
      <w:rFonts w:ascii="Palatino Linotype" w:hAnsi="Palatino Linotype" w:eastAsia="Times New Roman" w:cs="Times New Roman"/>
      <w:i/>
      <w:color w:val="000000"/>
      <w:sz w:val="24"/>
      <w:szCs w:val="22"/>
      <w:lang w:val="en-US" w:eastAsia="de-CH" w:bidi="ar-SA"/>
    </w:rPr>
  </w:style>
  <w:style w:type="paragraph" w:customStyle="1" w:styleId="32">
    <w:name w:val="MDPI_3.2_text_no_indent"/>
    <w:basedOn w:val="33"/>
    <w:qFormat/>
    <w:uiPriority w:val="0"/>
    <w:pPr>
      <w:ind w:firstLine="0"/>
    </w:pPr>
  </w:style>
  <w:style w:type="paragraph" w:customStyle="1" w:styleId="33">
    <w:name w:val="MDPI_3.1_text"/>
    <w:qFormat/>
    <w:uiPriority w:val="0"/>
    <w:pPr>
      <w:adjustRightInd w:val="0"/>
      <w:snapToGrid w:val="0"/>
      <w:spacing w:line="228" w:lineRule="auto"/>
      <w:ind w:left="2608" w:firstLine="425"/>
      <w:jc w:val="both"/>
    </w:pPr>
    <w:rPr>
      <w:rFonts w:ascii="Palatino Linotype" w:hAnsi="Palatino Linotype" w:eastAsia="Times New Roman" w:cs="Times New Roman"/>
      <w:snapToGrid w:val="0"/>
      <w:color w:val="000000"/>
      <w:szCs w:val="22"/>
      <w:lang w:val="en-US" w:eastAsia="de-DE" w:bidi="en-US"/>
    </w:rPr>
  </w:style>
  <w:style w:type="paragraph" w:customStyle="1" w:styleId="34">
    <w:name w:val="MDPI_3.3_text_space_after"/>
    <w:qFormat/>
    <w:uiPriority w:val="0"/>
    <w:pPr>
      <w:adjustRightInd w:val="0"/>
      <w:snapToGrid w:val="0"/>
      <w:spacing w:after="240" w:line="228" w:lineRule="auto"/>
      <w:ind w:left="2608"/>
      <w:jc w:val="both"/>
    </w:pPr>
    <w:rPr>
      <w:rFonts w:ascii="Palatino Linotype" w:hAnsi="Palatino Linotype" w:eastAsia="Times New Roman" w:cs="Times New Roman"/>
      <w:snapToGrid w:val="0"/>
      <w:color w:val="000000"/>
      <w:szCs w:val="22"/>
      <w:lang w:val="en-US" w:eastAsia="de-DE" w:bidi="en-US"/>
    </w:rPr>
  </w:style>
  <w:style w:type="paragraph" w:customStyle="1" w:styleId="35">
    <w:name w:val="MDPI_3.5_text_before_list"/>
    <w:qFormat/>
    <w:uiPriority w:val="0"/>
    <w:pPr>
      <w:adjustRightInd w:val="0"/>
      <w:snapToGrid w:val="0"/>
      <w:spacing w:line="228" w:lineRule="auto"/>
      <w:ind w:left="2608" w:firstLine="425"/>
      <w:jc w:val="both"/>
    </w:pPr>
    <w:rPr>
      <w:rFonts w:ascii="Palatino Linotype" w:hAnsi="Palatino Linotype" w:eastAsia="Times New Roman" w:cs="Times New Roman"/>
      <w:snapToGrid w:val="0"/>
      <w:color w:val="000000"/>
      <w:szCs w:val="22"/>
      <w:lang w:val="en-US" w:eastAsia="de-DE" w:bidi="en-US"/>
    </w:rPr>
  </w:style>
  <w:style w:type="paragraph" w:customStyle="1" w:styleId="36">
    <w:name w:val="MDPI_3.6_text_after_list"/>
    <w:qFormat/>
    <w:uiPriority w:val="0"/>
    <w:pPr>
      <w:adjustRightInd w:val="0"/>
      <w:snapToGrid w:val="0"/>
      <w:spacing w:before="120" w:line="228" w:lineRule="auto"/>
      <w:ind w:left="2608"/>
      <w:jc w:val="both"/>
    </w:pPr>
    <w:rPr>
      <w:rFonts w:ascii="Palatino Linotype" w:hAnsi="Palatino Linotype" w:eastAsia="Times New Roman" w:cs="Times New Roman"/>
      <w:snapToGrid w:val="0"/>
      <w:color w:val="000000"/>
      <w:szCs w:val="22"/>
      <w:lang w:val="en-US" w:eastAsia="de-DE" w:bidi="en-US"/>
    </w:rPr>
  </w:style>
  <w:style w:type="paragraph" w:customStyle="1" w:styleId="37">
    <w:name w:val="MDPI_3.7_itemize"/>
    <w:qFormat/>
    <w:uiPriority w:val="0"/>
    <w:pPr>
      <w:numPr>
        <w:ilvl w:val="0"/>
        <w:numId w:val="1"/>
      </w:numPr>
      <w:adjustRightInd w:val="0"/>
      <w:snapToGrid w:val="0"/>
      <w:spacing w:line="228" w:lineRule="auto"/>
      <w:jc w:val="both"/>
    </w:pPr>
    <w:rPr>
      <w:rFonts w:ascii="Palatino Linotype" w:hAnsi="Palatino Linotype" w:eastAsia="Times New Roman" w:cs="Times New Roman"/>
      <w:color w:val="000000"/>
      <w:szCs w:val="22"/>
      <w:lang w:val="en-US" w:eastAsia="de-DE" w:bidi="en-US"/>
    </w:rPr>
  </w:style>
  <w:style w:type="paragraph" w:customStyle="1" w:styleId="38">
    <w:name w:val="MDPI_3.8_bullet"/>
    <w:qFormat/>
    <w:uiPriority w:val="0"/>
    <w:pPr>
      <w:numPr>
        <w:ilvl w:val="0"/>
        <w:numId w:val="2"/>
      </w:numPr>
      <w:adjustRightInd w:val="0"/>
      <w:snapToGrid w:val="0"/>
      <w:spacing w:line="228" w:lineRule="auto"/>
      <w:jc w:val="both"/>
    </w:pPr>
    <w:rPr>
      <w:rFonts w:ascii="Palatino Linotype" w:hAnsi="Palatino Linotype" w:eastAsia="Times New Roman" w:cs="Times New Roman"/>
      <w:color w:val="000000"/>
      <w:szCs w:val="22"/>
      <w:lang w:val="en-US" w:eastAsia="de-DE" w:bidi="en-US"/>
    </w:rPr>
  </w:style>
  <w:style w:type="paragraph" w:customStyle="1" w:styleId="39">
    <w:name w:val="MDPI_3.9_equation"/>
    <w:qFormat/>
    <w:uiPriority w:val="0"/>
    <w:pPr>
      <w:adjustRightInd w:val="0"/>
      <w:snapToGrid w:val="0"/>
      <w:spacing w:before="120" w:after="120" w:line="260" w:lineRule="atLeast"/>
      <w:ind w:left="709"/>
      <w:jc w:val="center"/>
    </w:pPr>
    <w:rPr>
      <w:rFonts w:ascii="Palatino Linotype" w:hAnsi="Palatino Linotype" w:eastAsia="Times New Roman" w:cs="Times New Roman"/>
      <w:snapToGrid w:val="0"/>
      <w:color w:val="000000"/>
      <w:szCs w:val="22"/>
      <w:lang w:val="en-US" w:eastAsia="de-DE" w:bidi="en-US"/>
    </w:rPr>
  </w:style>
  <w:style w:type="paragraph" w:customStyle="1" w:styleId="40">
    <w:name w:val="MDPI_3.a_equation_number"/>
    <w:qFormat/>
    <w:uiPriority w:val="0"/>
    <w:pPr>
      <w:spacing w:before="120" w:after="120"/>
      <w:jc w:val="right"/>
    </w:pPr>
    <w:rPr>
      <w:rFonts w:ascii="Palatino Linotype" w:hAnsi="Palatino Linotype" w:eastAsia="Times New Roman" w:cs="Times New Roman"/>
      <w:snapToGrid w:val="0"/>
      <w:color w:val="000000"/>
      <w:szCs w:val="22"/>
      <w:lang w:val="en-US" w:eastAsia="de-DE" w:bidi="en-US"/>
    </w:rPr>
  </w:style>
  <w:style w:type="paragraph" w:customStyle="1" w:styleId="41">
    <w:name w:val="MDPI_4.1_table_caption"/>
    <w:qFormat/>
    <w:uiPriority w:val="0"/>
    <w:pPr>
      <w:adjustRightInd w:val="0"/>
      <w:snapToGrid w:val="0"/>
      <w:spacing w:before="240" w:after="120" w:line="228" w:lineRule="auto"/>
      <w:ind w:left="2608"/>
      <w:jc w:val="both"/>
    </w:pPr>
    <w:rPr>
      <w:rFonts w:ascii="Palatino Linotype" w:hAnsi="Palatino Linotype" w:eastAsia="Times New Roman" w:cs="Cordia New"/>
      <w:color w:val="000000"/>
      <w:sz w:val="18"/>
      <w:szCs w:val="22"/>
      <w:lang w:val="en-US" w:eastAsia="de-DE" w:bidi="en-US"/>
    </w:rPr>
  </w:style>
  <w:style w:type="paragraph" w:customStyle="1" w:styleId="42">
    <w:name w:val="MDPI_4.2_table_body"/>
    <w:qFormat/>
    <w:uiPriority w:val="0"/>
    <w:pPr>
      <w:adjustRightInd w:val="0"/>
      <w:snapToGrid w:val="0"/>
      <w:spacing w:line="260" w:lineRule="atLeast"/>
      <w:jc w:val="center"/>
    </w:pPr>
    <w:rPr>
      <w:rFonts w:ascii="Palatino Linotype" w:hAnsi="Palatino Linotype" w:eastAsia="Times New Roman" w:cs="Times New Roman"/>
      <w:snapToGrid w:val="0"/>
      <w:color w:val="000000"/>
      <w:lang w:val="en-US" w:eastAsia="de-DE" w:bidi="en-US"/>
    </w:rPr>
  </w:style>
  <w:style w:type="paragraph" w:customStyle="1" w:styleId="43">
    <w:name w:val="MDPI_4.3_table_footer"/>
    <w:next w:val="33"/>
    <w:qFormat/>
    <w:uiPriority w:val="0"/>
    <w:pPr>
      <w:adjustRightInd w:val="0"/>
      <w:snapToGrid w:val="0"/>
      <w:spacing w:line="228" w:lineRule="auto"/>
      <w:ind w:left="2608"/>
      <w:jc w:val="both"/>
    </w:pPr>
    <w:rPr>
      <w:rFonts w:ascii="Palatino Linotype" w:hAnsi="Palatino Linotype" w:eastAsia="Times New Roman" w:cs="Cordia New"/>
      <w:color w:val="000000"/>
      <w:sz w:val="18"/>
      <w:szCs w:val="22"/>
      <w:lang w:val="en-US" w:eastAsia="de-DE" w:bidi="en-US"/>
    </w:rPr>
  </w:style>
  <w:style w:type="paragraph" w:customStyle="1" w:styleId="44">
    <w:name w:val="MDPI_5.1_figure_caption"/>
    <w:qFormat/>
    <w:uiPriority w:val="0"/>
    <w:pPr>
      <w:adjustRightInd w:val="0"/>
      <w:snapToGrid w:val="0"/>
      <w:spacing w:before="120" w:after="240" w:line="228" w:lineRule="auto"/>
      <w:ind w:left="2608"/>
      <w:jc w:val="both"/>
    </w:pPr>
    <w:rPr>
      <w:rFonts w:ascii="Palatino Linotype" w:hAnsi="Palatino Linotype" w:eastAsia="Times New Roman" w:cs="Times New Roman"/>
      <w:color w:val="000000"/>
      <w:sz w:val="18"/>
      <w:lang w:val="en-US" w:eastAsia="de-DE" w:bidi="en-US"/>
    </w:rPr>
  </w:style>
  <w:style w:type="paragraph" w:customStyle="1" w:styleId="45">
    <w:name w:val="MDPI_5.2_figure"/>
    <w:qFormat/>
    <w:uiPriority w:val="0"/>
    <w:pPr>
      <w:adjustRightInd w:val="0"/>
      <w:snapToGrid w:val="0"/>
      <w:spacing w:before="240" w:after="120"/>
      <w:jc w:val="center"/>
    </w:pPr>
    <w:rPr>
      <w:rFonts w:ascii="Palatino Linotype" w:hAnsi="Palatino Linotype" w:eastAsia="Times New Roman" w:cs="Times New Roman"/>
      <w:snapToGrid w:val="0"/>
      <w:color w:val="000000"/>
      <w:lang w:val="en-US" w:eastAsia="de-DE" w:bidi="en-US"/>
    </w:rPr>
  </w:style>
  <w:style w:type="paragraph" w:customStyle="1" w:styleId="46">
    <w:name w:val="MDPI_2.3_heading3"/>
    <w:qFormat/>
    <w:uiPriority w:val="0"/>
    <w:pPr>
      <w:adjustRightInd w:val="0"/>
      <w:snapToGrid w:val="0"/>
      <w:spacing w:before="60" w:after="60" w:line="228" w:lineRule="auto"/>
      <w:ind w:left="2608"/>
      <w:outlineLvl w:val="2"/>
    </w:pPr>
    <w:rPr>
      <w:rFonts w:ascii="Palatino Linotype" w:hAnsi="Palatino Linotype" w:eastAsia="Times New Roman" w:cs="Times New Roman"/>
      <w:snapToGrid w:val="0"/>
      <w:color w:val="000000"/>
      <w:szCs w:val="22"/>
      <w:lang w:val="en-US" w:eastAsia="de-DE" w:bidi="en-US"/>
    </w:rPr>
  </w:style>
  <w:style w:type="paragraph" w:customStyle="1" w:styleId="47">
    <w:name w:val="MDPI_2.1_heading1"/>
    <w:qFormat/>
    <w:uiPriority w:val="0"/>
    <w:pPr>
      <w:adjustRightInd w:val="0"/>
      <w:snapToGrid w:val="0"/>
      <w:spacing w:before="240" w:after="60" w:line="228" w:lineRule="auto"/>
      <w:ind w:left="2608"/>
      <w:outlineLvl w:val="0"/>
    </w:pPr>
    <w:rPr>
      <w:rFonts w:ascii="Palatino Linotype" w:hAnsi="Palatino Linotype" w:eastAsia="Times New Roman" w:cs="Times New Roman"/>
      <w:b/>
      <w:snapToGrid w:val="0"/>
      <w:color w:val="000000"/>
      <w:szCs w:val="22"/>
      <w:lang w:val="en-US" w:eastAsia="de-DE" w:bidi="en-US"/>
    </w:rPr>
  </w:style>
  <w:style w:type="paragraph" w:customStyle="1" w:styleId="48">
    <w:name w:val="MDPI_2.2_heading2"/>
    <w:qFormat/>
    <w:uiPriority w:val="0"/>
    <w:pPr>
      <w:adjustRightInd w:val="0"/>
      <w:snapToGrid w:val="0"/>
      <w:spacing w:before="60" w:after="60" w:line="228" w:lineRule="auto"/>
      <w:ind w:left="2608"/>
      <w:outlineLvl w:val="1"/>
    </w:pPr>
    <w:rPr>
      <w:rFonts w:ascii="Palatino Linotype" w:hAnsi="Palatino Linotype" w:eastAsia="Times New Roman" w:cs="Times New Roman"/>
      <w:i/>
      <w:snapToGrid w:val="0"/>
      <w:color w:val="000000"/>
      <w:szCs w:val="22"/>
      <w:lang w:val="en-US" w:eastAsia="de-DE" w:bidi="en-US"/>
    </w:rPr>
  </w:style>
  <w:style w:type="paragraph" w:customStyle="1" w:styleId="49">
    <w:name w:val="MDPI_7.1_References"/>
    <w:qFormat/>
    <w:uiPriority w:val="0"/>
    <w:pPr>
      <w:numPr>
        <w:ilvl w:val="0"/>
        <w:numId w:val="3"/>
      </w:numPr>
      <w:adjustRightInd w:val="0"/>
      <w:snapToGrid w:val="0"/>
      <w:spacing w:line="228" w:lineRule="auto"/>
      <w:jc w:val="both"/>
    </w:pPr>
    <w:rPr>
      <w:rFonts w:ascii="Palatino Linotype" w:hAnsi="Palatino Linotype" w:eastAsia="Times New Roman" w:cs="Times New Roman"/>
      <w:color w:val="000000"/>
      <w:sz w:val="18"/>
      <w:lang w:val="en-US" w:eastAsia="de-DE" w:bidi="en-US"/>
    </w:rPr>
  </w:style>
  <w:style w:type="character" w:customStyle="1" w:styleId="50">
    <w:name w:val="批注框文本 字符"/>
    <w:link w:val="5"/>
    <w:qFormat/>
    <w:uiPriority w:val="99"/>
    <w:rPr>
      <w:rFonts w:ascii="Palatino Linotype" w:hAnsi="Palatino Linotype" w:cs="Tahoma"/>
      <w:color w:val="000000"/>
      <w:szCs w:val="18"/>
    </w:rPr>
  </w:style>
  <w:style w:type="table" w:customStyle="1" w:styleId="51">
    <w:name w:val="MDPI_4.1_three_line_table"/>
    <w:basedOn w:val="11"/>
    <w:qFormat/>
    <w:uiPriority w:val="99"/>
    <w:pPr>
      <w:adjustRightInd w:val="0"/>
      <w:snapToGrid w:val="0"/>
      <w:jc w:val="center"/>
    </w:pPr>
    <w:rPr>
      <w:rFonts w:ascii="Palatino Linotype" w:hAnsi="Palatino Linotype"/>
      <w:color w:val="000000"/>
    </w:rPr>
    <w:tblPr>
      <w:jc w:val="center"/>
      <w:tblBorders>
        <w:top w:val="single" w:color="auto" w:sz="8" w:space="0"/>
        <w:bottom w:val="single" w:color="auto" w:sz="8" w:space="0"/>
      </w:tblBorders>
    </w:tblPr>
    <w:trPr>
      <w:jc w:val="center"/>
    </w:trPr>
    <w:tcPr>
      <w:vAlign w:val="center"/>
    </w:tcPr>
    <w:tblStylePr w:type="firstRow">
      <w:rPr>
        <w:rFonts w:ascii="Palatino Linotype" w:hAnsi="Palatino Linotype"/>
        <w:b/>
        <w:i w:val="0"/>
        <w:sz w:val="20"/>
      </w:rPr>
      <w:tcPr>
        <w:tcBorders>
          <w:bottom w:val="single" w:color="auto" w:sz="4" w:space="0"/>
        </w:tcBorders>
      </w:tcPr>
    </w:tblStylePr>
  </w:style>
  <w:style w:type="character" w:customStyle="1" w:styleId="52">
    <w:name w:val="未处理的提及1"/>
    <w:semiHidden/>
    <w:unhideWhenUsed/>
    <w:qFormat/>
    <w:uiPriority w:val="99"/>
    <w:rPr>
      <w:color w:val="605E5C"/>
      <w:shd w:val="clear" w:color="auto" w:fill="E1DFDD"/>
    </w:rPr>
  </w:style>
  <w:style w:type="table" w:customStyle="1" w:styleId="53">
    <w:name w:val="无格式表格 41"/>
    <w:basedOn w:val="11"/>
    <w:qFormat/>
    <w:uiPriority w:val="44"/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cPr>
        <w:shd w:val="clear" w:color="auto" w:fill="F2F2F2"/>
      </w:tcPr>
    </w:tblStylePr>
    <w:tblStylePr w:type="band1Horz">
      <w:tcPr>
        <w:shd w:val="clear" w:color="auto" w:fill="F2F2F2"/>
      </w:tcPr>
    </w:tblStylePr>
  </w:style>
  <w:style w:type="paragraph" w:customStyle="1" w:styleId="54">
    <w:name w:val="MDPI_3.4_text_space_before"/>
    <w:qFormat/>
    <w:uiPriority w:val="0"/>
    <w:pPr>
      <w:adjustRightInd w:val="0"/>
      <w:snapToGrid w:val="0"/>
      <w:spacing w:before="240" w:line="228" w:lineRule="auto"/>
      <w:ind w:left="2608"/>
      <w:jc w:val="both"/>
    </w:pPr>
    <w:rPr>
      <w:rFonts w:ascii="Palatino Linotype" w:hAnsi="Palatino Linotype" w:eastAsia="Times New Roman" w:cs="Times New Roman"/>
      <w:snapToGrid w:val="0"/>
      <w:color w:val="000000"/>
      <w:szCs w:val="22"/>
      <w:lang w:val="en-US" w:eastAsia="de-DE" w:bidi="en-US"/>
    </w:rPr>
  </w:style>
  <w:style w:type="paragraph" w:customStyle="1" w:styleId="55">
    <w:name w:val="MDPI_8.1_theorem"/>
    <w:qFormat/>
    <w:uiPriority w:val="0"/>
    <w:pPr>
      <w:adjustRightInd w:val="0"/>
      <w:snapToGrid w:val="0"/>
      <w:spacing w:line="228" w:lineRule="auto"/>
      <w:ind w:left="2608"/>
      <w:jc w:val="both"/>
    </w:pPr>
    <w:rPr>
      <w:rFonts w:ascii="Palatino Linotype" w:hAnsi="Palatino Linotype" w:eastAsia="Times New Roman" w:cs="Times New Roman"/>
      <w:i/>
      <w:snapToGrid w:val="0"/>
      <w:color w:val="000000"/>
      <w:szCs w:val="22"/>
      <w:lang w:val="en-US" w:eastAsia="de-DE" w:bidi="en-US"/>
    </w:rPr>
  </w:style>
  <w:style w:type="paragraph" w:customStyle="1" w:styleId="56">
    <w:name w:val="MDPI_8.2_proof"/>
    <w:qFormat/>
    <w:uiPriority w:val="0"/>
    <w:pPr>
      <w:adjustRightInd w:val="0"/>
      <w:snapToGrid w:val="0"/>
      <w:spacing w:line="228" w:lineRule="auto"/>
      <w:ind w:left="2608"/>
      <w:jc w:val="both"/>
    </w:pPr>
    <w:rPr>
      <w:rFonts w:ascii="Palatino Linotype" w:hAnsi="Palatino Linotype" w:eastAsia="Times New Roman" w:cs="Times New Roman"/>
      <w:snapToGrid w:val="0"/>
      <w:color w:val="000000"/>
      <w:szCs w:val="22"/>
      <w:lang w:val="en-US" w:eastAsia="de-DE" w:bidi="en-US"/>
    </w:rPr>
  </w:style>
  <w:style w:type="paragraph" w:customStyle="1" w:styleId="57">
    <w:name w:val="MDPI_6.1_Citation"/>
    <w:qFormat/>
    <w:uiPriority w:val="0"/>
    <w:pPr>
      <w:adjustRightInd w:val="0"/>
      <w:snapToGrid w:val="0"/>
      <w:spacing w:line="240" w:lineRule="atLeast"/>
      <w:ind w:right="113"/>
    </w:pPr>
    <w:rPr>
      <w:rFonts w:ascii="Palatino Linotype" w:hAnsi="Palatino Linotype" w:eastAsia="宋体" w:cs="Cordia New"/>
      <w:sz w:val="14"/>
      <w:szCs w:val="22"/>
      <w:lang w:val="en-US" w:eastAsia="zh-CN" w:bidi="ar-SA"/>
    </w:rPr>
  </w:style>
  <w:style w:type="paragraph" w:customStyle="1" w:styleId="58">
    <w:name w:val="MDPI_6.2_BackMatter"/>
    <w:qFormat/>
    <w:uiPriority w:val="0"/>
    <w:pPr>
      <w:adjustRightInd w:val="0"/>
      <w:snapToGrid w:val="0"/>
      <w:spacing w:after="120" w:line="228" w:lineRule="auto"/>
      <w:ind w:left="2608"/>
      <w:jc w:val="both"/>
    </w:pPr>
    <w:rPr>
      <w:rFonts w:ascii="Palatino Linotype" w:hAnsi="Palatino Linotype" w:eastAsia="Times New Roman" w:cs="Times New Roman"/>
      <w:snapToGrid w:val="0"/>
      <w:color w:val="000000"/>
      <w:sz w:val="18"/>
      <w:lang w:val="en-US" w:eastAsia="en-US" w:bidi="en-US"/>
    </w:rPr>
  </w:style>
  <w:style w:type="paragraph" w:customStyle="1" w:styleId="59">
    <w:name w:val="MDPI_6.3_Notes"/>
    <w:qFormat/>
    <w:uiPriority w:val="0"/>
    <w:pPr>
      <w:adjustRightInd w:val="0"/>
      <w:snapToGrid w:val="0"/>
      <w:spacing w:before="240" w:line="228" w:lineRule="auto"/>
      <w:jc w:val="both"/>
    </w:pPr>
    <w:rPr>
      <w:rFonts w:ascii="Palatino Linotype" w:hAnsi="Palatino Linotype" w:eastAsia="宋体" w:cs="Times New Roman"/>
      <w:snapToGrid w:val="0"/>
      <w:color w:val="000000"/>
      <w:sz w:val="18"/>
      <w:lang w:val="en-US" w:eastAsia="en-US" w:bidi="en-US"/>
    </w:rPr>
  </w:style>
  <w:style w:type="paragraph" w:customStyle="1" w:styleId="60">
    <w:name w:val="MDPI_1.5_academic_editor"/>
    <w:qFormat/>
    <w:uiPriority w:val="0"/>
    <w:pPr>
      <w:adjustRightInd w:val="0"/>
      <w:snapToGrid w:val="0"/>
      <w:spacing w:before="120" w:line="240" w:lineRule="atLeast"/>
      <w:ind w:right="113"/>
    </w:pPr>
    <w:rPr>
      <w:rFonts w:ascii="Palatino Linotype" w:hAnsi="Palatino Linotype" w:eastAsia="Times New Roman" w:cs="Times New Roman"/>
      <w:color w:val="000000"/>
      <w:sz w:val="14"/>
      <w:szCs w:val="22"/>
      <w:lang w:val="en-US" w:eastAsia="de-DE" w:bidi="en-US"/>
    </w:rPr>
  </w:style>
  <w:style w:type="paragraph" w:customStyle="1" w:styleId="61">
    <w:name w:val="MDPI_1.9_classification"/>
    <w:qFormat/>
    <w:uiPriority w:val="0"/>
    <w:pPr>
      <w:spacing w:before="240" w:line="260" w:lineRule="atLeast"/>
      <w:ind w:left="113"/>
      <w:jc w:val="both"/>
    </w:pPr>
    <w:rPr>
      <w:rFonts w:ascii="Palatino Linotype" w:hAnsi="Palatino Linotype" w:eastAsia="Times New Roman" w:cs="Times New Roman"/>
      <w:b/>
      <w:color w:val="000000"/>
      <w:szCs w:val="22"/>
      <w:lang w:val="en-US" w:eastAsia="de-DE" w:bidi="en-US"/>
    </w:rPr>
  </w:style>
  <w:style w:type="paragraph" w:customStyle="1" w:styleId="62">
    <w:name w:val="MDPI_4.1.1_one_table_caption"/>
    <w:qFormat/>
    <w:uiPriority w:val="0"/>
    <w:pPr>
      <w:adjustRightInd w:val="0"/>
      <w:snapToGrid w:val="0"/>
      <w:spacing w:before="240" w:after="120" w:line="260" w:lineRule="atLeast"/>
      <w:jc w:val="center"/>
    </w:pPr>
    <w:rPr>
      <w:rFonts w:ascii="Palatino Linotype" w:hAnsi="Palatino Linotype" w:eastAsia="宋体" w:cs="Cordia New"/>
      <w:color w:val="000000"/>
      <w:sz w:val="18"/>
      <w:szCs w:val="22"/>
      <w:lang w:val="en-US" w:eastAsia="zh-CN" w:bidi="en-US"/>
    </w:rPr>
  </w:style>
  <w:style w:type="paragraph" w:customStyle="1" w:styleId="63">
    <w:name w:val="MDPI_5.1.1_one_figure_caption"/>
    <w:qFormat/>
    <w:uiPriority w:val="0"/>
    <w:pPr>
      <w:adjustRightInd w:val="0"/>
      <w:snapToGrid w:val="0"/>
      <w:spacing w:before="240" w:after="120" w:line="260" w:lineRule="atLeast"/>
      <w:jc w:val="center"/>
    </w:pPr>
    <w:rPr>
      <w:rFonts w:ascii="Palatino Linotype" w:hAnsi="Palatino Linotype" w:eastAsia="宋体" w:cs="Times New Roman"/>
      <w:color w:val="000000"/>
      <w:sz w:val="18"/>
      <w:lang w:val="en-US" w:eastAsia="zh-CN" w:bidi="en-US"/>
    </w:rPr>
  </w:style>
  <w:style w:type="paragraph" w:customStyle="1" w:styleId="64">
    <w:name w:val="MDPI_7.2_Copyright"/>
    <w:qFormat/>
    <w:uiPriority w:val="0"/>
    <w:pPr>
      <w:adjustRightInd w:val="0"/>
      <w:snapToGrid w:val="0"/>
      <w:spacing w:before="60" w:line="240" w:lineRule="atLeast"/>
      <w:ind w:right="113"/>
      <w:jc w:val="both"/>
    </w:pPr>
    <w:rPr>
      <w:rFonts w:ascii="Palatino Linotype" w:hAnsi="Palatino Linotype" w:eastAsia="Times New Roman" w:cs="Times New Roman"/>
      <w:snapToGrid w:val="0"/>
      <w:color w:val="000000"/>
      <w:sz w:val="14"/>
      <w:lang w:val="en-GB" w:eastAsia="en-GB" w:bidi="ar-SA"/>
    </w:rPr>
  </w:style>
  <w:style w:type="paragraph" w:customStyle="1" w:styleId="65">
    <w:name w:val="MDPI_7.3_CopyrightImage"/>
    <w:qFormat/>
    <w:uiPriority w:val="0"/>
    <w:pPr>
      <w:adjustRightInd w:val="0"/>
      <w:snapToGrid w:val="0"/>
      <w:spacing w:after="100" w:line="260" w:lineRule="atLeast"/>
      <w:jc w:val="right"/>
    </w:pPr>
    <w:rPr>
      <w:rFonts w:ascii="Palatino Linotype" w:hAnsi="Palatino Linotype" w:eastAsia="Times New Roman" w:cs="Times New Roman"/>
      <w:color w:val="000000"/>
      <w:lang w:val="en-US" w:eastAsia="de-CH" w:bidi="ar-SA"/>
    </w:rPr>
  </w:style>
  <w:style w:type="paragraph" w:customStyle="1" w:styleId="66">
    <w:name w:val="MDPI_equationFram"/>
    <w:qFormat/>
    <w:uiPriority w:val="0"/>
    <w:pPr>
      <w:adjustRightInd w:val="0"/>
      <w:snapToGrid w:val="0"/>
      <w:spacing w:before="120" w:after="120"/>
      <w:jc w:val="center"/>
    </w:pPr>
    <w:rPr>
      <w:rFonts w:ascii="Palatino Linotype" w:hAnsi="Palatino Linotype" w:eastAsia="Times New Roman" w:cs="Times New Roman"/>
      <w:snapToGrid w:val="0"/>
      <w:color w:val="000000"/>
      <w:szCs w:val="22"/>
      <w:lang w:val="en-US" w:eastAsia="de-DE" w:bidi="en-US"/>
    </w:rPr>
  </w:style>
  <w:style w:type="paragraph" w:customStyle="1" w:styleId="67">
    <w:name w:val="MDPI_footer"/>
    <w:qFormat/>
    <w:uiPriority w:val="0"/>
    <w:pPr>
      <w:adjustRightInd w:val="0"/>
      <w:snapToGrid w:val="0"/>
      <w:spacing w:before="120" w:line="260" w:lineRule="atLeast"/>
      <w:jc w:val="center"/>
    </w:pPr>
    <w:rPr>
      <w:rFonts w:ascii="Palatino Linotype" w:hAnsi="Palatino Linotype" w:eastAsia="Times New Roman" w:cs="Times New Roman"/>
      <w:color w:val="000000"/>
      <w:lang w:val="en-US" w:eastAsia="de-DE" w:bidi="ar-SA"/>
    </w:rPr>
  </w:style>
  <w:style w:type="paragraph" w:customStyle="1" w:styleId="68">
    <w:name w:val="MDPI_footer_firstpage"/>
    <w:qFormat/>
    <w:uiPriority w:val="0"/>
    <w:pPr>
      <w:tabs>
        <w:tab w:val="right" w:pos="8845"/>
      </w:tabs>
      <w:spacing w:line="160" w:lineRule="exact"/>
    </w:pPr>
    <w:rPr>
      <w:rFonts w:ascii="Palatino Linotype" w:hAnsi="Palatino Linotype" w:eastAsia="Times New Roman" w:cs="Times New Roman"/>
      <w:color w:val="000000"/>
      <w:sz w:val="16"/>
      <w:lang w:val="en-US" w:eastAsia="de-DE" w:bidi="ar-SA"/>
    </w:rPr>
  </w:style>
  <w:style w:type="paragraph" w:customStyle="1" w:styleId="69">
    <w:name w:val="MDPI_header"/>
    <w:qFormat/>
    <w:uiPriority w:val="0"/>
    <w:pPr>
      <w:adjustRightInd w:val="0"/>
      <w:snapToGrid w:val="0"/>
      <w:spacing w:after="240" w:line="260" w:lineRule="atLeast"/>
      <w:jc w:val="both"/>
    </w:pPr>
    <w:rPr>
      <w:rFonts w:ascii="Palatino Linotype" w:hAnsi="Palatino Linotype" w:eastAsia="Times New Roman" w:cs="Times New Roman"/>
      <w:iCs/>
      <w:color w:val="000000"/>
      <w:sz w:val="16"/>
      <w:lang w:val="en-US" w:eastAsia="de-DE" w:bidi="ar-SA"/>
    </w:rPr>
  </w:style>
  <w:style w:type="paragraph" w:customStyle="1" w:styleId="70">
    <w:name w:val="MDPI_header_citation"/>
    <w:qFormat/>
    <w:uiPriority w:val="0"/>
    <w:pPr>
      <w:spacing w:after="240"/>
    </w:pPr>
    <w:rPr>
      <w:rFonts w:ascii="Palatino Linotype" w:hAnsi="Palatino Linotype" w:eastAsia="Times New Roman" w:cs="Times New Roman"/>
      <w:snapToGrid w:val="0"/>
      <w:color w:val="000000"/>
      <w:sz w:val="18"/>
      <w:lang w:val="en-US" w:eastAsia="de-DE" w:bidi="en-US"/>
    </w:rPr>
  </w:style>
  <w:style w:type="paragraph" w:customStyle="1" w:styleId="71">
    <w:name w:val="MDPI_header_mdpi_logo"/>
    <w:qFormat/>
    <w:uiPriority w:val="0"/>
    <w:pPr>
      <w:adjustRightInd w:val="0"/>
      <w:snapToGrid w:val="0"/>
      <w:spacing w:line="260" w:lineRule="atLeast"/>
      <w:jc w:val="right"/>
    </w:pPr>
    <w:rPr>
      <w:rFonts w:ascii="Palatino Linotype" w:hAnsi="Palatino Linotype" w:eastAsia="Times New Roman" w:cs="Times New Roman"/>
      <w:color w:val="000000"/>
      <w:sz w:val="24"/>
      <w:szCs w:val="22"/>
      <w:lang w:val="en-US" w:eastAsia="de-CH" w:bidi="ar-SA"/>
    </w:rPr>
  </w:style>
  <w:style w:type="table" w:customStyle="1" w:styleId="72">
    <w:name w:val="MDPI_Table"/>
    <w:basedOn w:val="11"/>
    <w:qFormat/>
    <w:uiPriority w:val="99"/>
    <w:rPr>
      <w:rFonts w:ascii="Palatino Linotype" w:hAnsi="Palatino Linotype"/>
      <w:color w:val="000000"/>
      <w:lang w:val="en-CA" w:eastAsia="en-US"/>
    </w:rPr>
    <w:tblPr>
      <w:tblCellMar>
        <w:left w:w="0" w:type="dxa"/>
        <w:right w:w="0" w:type="dxa"/>
      </w:tblCellMar>
    </w:tblPr>
  </w:style>
  <w:style w:type="paragraph" w:customStyle="1" w:styleId="73">
    <w:name w:val="MDPI_text"/>
    <w:qFormat/>
    <w:uiPriority w:val="0"/>
    <w:pPr>
      <w:spacing w:line="260" w:lineRule="atLeast"/>
      <w:ind w:left="425" w:right="425" w:firstLine="284"/>
      <w:jc w:val="both"/>
    </w:pPr>
    <w:rPr>
      <w:rFonts w:ascii="Times New Roman" w:hAnsi="Times New Roman" w:eastAsia="Times New Roman" w:cs="Times New Roman"/>
      <w:snapToGrid w:val="0"/>
      <w:color w:val="000000"/>
      <w:sz w:val="22"/>
      <w:szCs w:val="22"/>
      <w:lang w:val="en-US" w:eastAsia="de-DE" w:bidi="en-US"/>
    </w:rPr>
  </w:style>
  <w:style w:type="paragraph" w:customStyle="1" w:styleId="74">
    <w:name w:val="MDPI_title"/>
    <w:qFormat/>
    <w:uiPriority w:val="0"/>
    <w:pPr>
      <w:adjustRightInd w:val="0"/>
      <w:snapToGrid w:val="0"/>
      <w:spacing w:after="240" w:line="260" w:lineRule="atLeast"/>
      <w:jc w:val="both"/>
    </w:pPr>
    <w:rPr>
      <w:rFonts w:ascii="Palatino Linotype" w:hAnsi="Palatino Linotype" w:eastAsia="Times New Roman" w:cs="Times New Roman"/>
      <w:b/>
      <w:snapToGrid w:val="0"/>
      <w:color w:val="000000"/>
      <w:sz w:val="36"/>
      <w:lang w:val="en-US" w:eastAsia="de-DE" w:bidi="en-US"/>
    </w:rPr>
  </w:style>
  <w:style w:type="character" w:customStyle="1" w:styleId="75">
    <w:name w:val="apple-converted-space"/>
    <w:qFormat/>
    <w:uiPriority w:val="0"/>
  </w:style>
  <w:style w:type="paragraph" w:customStyle="1" w:styleId="76">
    <w:name w:val="书目1"/>
    <w:basedOn w:val="1"/>
    <w:next w:val="1"/>
    <w:semiHidden/>
    <w:unhideWhenUsed/>
    <w:qFormat/>
    <w:uiPriority w:val="37"/>
  </w:style>
  <w:style w:type="character" w:customStyle="1" w:styleId="77">
    <w:name w:val="正文文本 字符"/>
    <w:link w:val="3"/>
    <w:qFormat/>
    <w:uiPriority w:val="0"/>
    <w:rPr>
      <w:rFonts w:ascii="Palatino Linotype" w:hAnsi="Palatino Linotype"/>
      <w:color w:val="000000"/>
      <w:sz w:val="24"/>
      <w:lang w:eastAsia="de-DE"/>
    </w:rPr>
  </w:style>
  <w:style w:type="character" w:customStyle="1" w:styleId="78">
    <w:name w:val="批注文字 字符"/>
    <w:link w:val="2"/>
    <w:qFormat/>
    <w:uiPriority w:val="0"/>
    <w:rPr>
      <w:rFonts w:ascii="Palatino Linotype" w:hAnsi="Palatino Linotype"/>
      <w:color w:val="000000"/>
    </w:rPr>
  </w:style>
  <w:style w:type="character" w:customStyle="1" w:styleId="79">
    <w:name w:val="批注主题 字符"/>
    <w:link w:val="10"/>
    <w:qFormat/>
    <w:uiPriority w:val="0"/>
    <w:rPr>
      <w:rFonts w:ascii="Palatino Linotype" w:hAnsi="Palatino Linotype"/>
      <w:b/>
      <w:bCs/>
      <w:color w:val="000000"/>
    </w:rPr>
  </w:style>
  <w:style w:type="character" w:customStyle="1" w:styleId="80">
    <w:name w:val="尾注文本 字符"/>
    <w:link w:val="4"/>
    <w:semiHidden/>
    <w:qFormat/>
    <w:uiPriority w:val="0"/>
    <w:rPr>
      <w:rFonts w:ascii="Palatino Linotype" w:hAnsi="Palatino Linotype"/>
      <w:color w:val="000000"/>
    </w:rPr>
  </w:style>
  <w:style w:type="character" w:customStyle="1" w:styleId="81">
    <w:name w:val="脚注文本 字符"/>
    <w:link w:val="8"/>
    <w:semiHidden/>
    <w:qFormat/>
    <w:uiPriority w:val="0"/>
    <w:rPr>
      <w:rFonts w:ascii="Palatino Linotype" w:hAnsi="Palatino Linotype"/>
      <w:color w:val="000000"/>
    </w:rPr>
  </w:style>
  <w:style w:type="paragraph" w:customStyle="1" w:styleId="82">
    <w:name w:val="MsoFootnoteText"/>
    <w:basedOn w:val="9"/>
    <w:qFormat/>
    <w:uiPriority w:val="0"/>
    <w:rPr>
      <w:rFonts w:ascii="Times New Roman" w:hAnsi="Times New Roman"/>
    </w:rPr>
  </w:style>
  <w:style w:type="character" w:styleId="83">
    <w:name w:val="Placeholder Text"/>
    <w:semiHidden/>
    <w:qFormat/>
    <w:uiPriority w:val="99"/>
    <w:rPr>
      <w:color w:val="808080"/>
    </w:rPr>
  </w:style>
  <w:style w:type="paragraph" w:customStyle="1" w:styleId="84">
    <w:name w:val="MDPI_7.1_FootNotes"/>
    <w:qFormat/>
    <w:uiPriority w:val="0"/>
    <w:pPr>
      <w:numPr>
        <w:ilvl w:val="0"/>
        <w:numId w:val="4"/>
      </w:numPr>
      <w:adjustRightInd w:val="0"/>
      <w:snapToGrid w:val="0"/>
      <w:spacing w:line="228" w:lineRule="auto"/>
    </w:pPr>
    <w:rPr>
      <w:rFonts w:ascii="Palatino Linotype" w:hAnsi="Palatino Linotype" w:cs="Times New Roman" w:eastAsiaTheme="minorEastAsia"/>
      <w:color w:val="000000"/>
      <w:sz w:val="18"/>
      <w:lang w:val="en-US" w:eastAsia="zh-CN" w:bidi="ar-SA"/>
    </w:rPr>
  </w:style>
  <w:style w:type="character" w:customStyle="1" w:styleId="85">
    <w:name w:val="font11"/>
    <w:basedOn w:val="13"/>
    <w:qFormat/>
    <w:uiPriority w:val="0"/>
    <w:rPr>
      <w:rFonts w:hint="default" w:ascii="Times New Roman" w:hAnsi="Times New Roman" w:cs="Times New Roman"/>
      <w:color w:val="000000"/>
      <w:sz w:val="22"/>
      <w:szCs w:val="22"/>
      <w:u w:val="non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2.xml"/><Relationship Id="rId8" Type="http://schemas.openxmlformats.org/officeDocument/2006/relationships/footer" Target="footer1.xml"/><Relationship Id="rId7" Type="http://schemas.openxmlformats.org/officeDocument/2006/relationships/header" Target="header3.xml"/><Relationship Id="rId6" Type="http://schemas.openxmlformats.org/officeDocument/2006/relationships/header" Target="header2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numbering" Target="numbering.xml"/><Relationship Id="rId12" Type="http://schemas.openxmlformats.org/officeDocument/2006/relationships/image" Target="media/image4.png"/><Relationship Id="rId11" Type="http://schemas.openxmlformats.org/officeDocument/2006/relationships/image" Target="media/image3.jpeg"/><Relationship Id="rId10" Type="http://schemas.openxmlformats.org/officeDocument/2006/relationships/theme" Target="theme/theme1.xml"/><Relationship Id="rId1" Type="http://schemas.openxmlformats.org/officeDocument/2006/relationships/styles" Target="styles.xml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</Pages>
  <Words>7641</Words>
  <Characters>43560</Characters>
  <Lines>363</Lines>
  <Paragraphs>102</Paragraphs>
  <TotalTime>3</TotalTime>
  <ScaleCrop>false</ScaleCrop>
  <LinksUpToDate>false</LinksUpToDate>
  <CharactersWithSpaces>51099</CharactersWithSpaces>
  <Application>WPS Office_12.1.0.15374_F1E327BC-269C-435d-A152-05C5408002CA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2024-04-29T12:00:00Z</dcterms:created>
  <dc:creator>大师</dc:creator>
  <cp:lastModifiedBy>大师</cp:lastModifiedBy>
  <dcterms:modified xsi:type="dcterms:W3CDTF">2024-05-30T00:42:36Z</dcterms:modified>
  <dc:title>Type of the Paper (Article</dc:title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CV">
    <vt:lpwstr>F8D9B1E0B3C643AAB5FA9700DC320AE1_13</vt:lpwstr>
  </property>
  <property fmtid="{D5CDD505-2E9C-101B-9397-08002B2CF9AE}" pid="3" name="KSOProductBuildVer">
    <vt:lpwstr>2052-12.1.0.15374</vt:lpwstr>
  </property>
</Properties>
</file>